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46" w:rsidRPr="00FC4A46" w:rsidRDefault="001D50C4" w:rsidP="00FC4A46">
      <w:pPr>
        <w:jc w:val="center"/>
        <w:rPr>
          <w:rFonts w:ascii="Times New Roman" w:hAnsi="Times New Roman" w:cs="Times New Roman"/>
        </w:rPr>
      </w:pPr>
      <w:r w:rsidRPr="00FC4A46">
        <w:rPr>
          <w:rFonts w:ascii="Times New Roman" w:hAnsi="Times New Roman" w:cs="Times New Roman"/>
        </w:rPr>
        <w:t xml:space="preserve">Статьи о Лонгидазе с портала </w:t>
      </w:r>
      <w:r w:rsidRPr="00FC4A46">
        <w:rPr>
          <w:rFonts w:ascii="Times New Roman" w:hAnsi="Times New Roman" w:cs="Times New Roman"/>
          <w:lang w:val="en-US"/>
        </w:rPr>
        <w:t>PabMed</w:t>
      </w:r>
    </w:p>
    <w:p w:rsidR="001D50C4" w:rsidRPr="00FC4A46" w:rsidRDefault="001D50C4" w:rsidP="00FC4A46">
      <w:pPr>
        <w:jc w:val="both"/>
        <w:rPr>
          <w:rFonts w:ascii="Times New Roman" w:hAnsi="Times New Roman" w:cs="Times New Roman"/>
        </w:rPr>
      </w:pPr>
    </w:p>
    <w:p w:rsidR="001D50C4" w:rsidRPr="00FC4A46" w:rsidRDefault="001D50C4" w:rsidP="00FC4A46">
      <w:pPr>
        <w:pStyle w:val="1"/>
        <w:spacing w:before="120" w:beforeAutospacing="0" w:after="120" w:afterAutospacing="0" w:line="300" w:lineRule="atLeast"/>
        <w:jc w:val="both"/>
        <w:rPr>
          <w:rFonts w:eastAsia="Times New Roman" w:cs="Times New Roman"/>
          <w:color w:val="000000"/>
          <w:sz w:val="24"/>
          <w:szCs w:val="24"/>
        </w:rPr>
      </w:pPr>
      <w:r w:rsidRPr="00FC4A46">
        <w:rPr>
          <w:rFonts w:eastAsia="Times New Roman" w:cs="Times New Roman"/>
          <w:color w:val="000000"/>
          <w:sz w:val="24"/>
          <w:szCs w:val="24"/>
        </w:rPr>
        <w:t>[The influence of proteolytic enzymes on the antioxidant defensive system in infertile married men].</w:t>
      </w:r>
    </w:p>
    <w:p w:rsidR="001D50C4" w:rsidRPr="00FC4A46" w:rsidRDefault="001D50C4" w:rsidP="00FC4A46">
      <w:pPr>
        <w:jc w:val="both"/>
        <w:rPr>
          <w:rFonts w:ascii="Times New Roman" w:eastAsia="Times New Roman" w:hAnsi="Times New Roman" w:cs="Times New Roman"/>
        </w:rPr>
      </w:pPr>
    </w:p>
    <w:p w:rsidR="001D50C4" w:rsidRPr="00FC4A46" w:rsidRDefault="001D50C4" w:rsidP="00FC4A46">
      <w:pPr>
        <w:jc w:val="both"/>
        <w:rPr>
          <w:rFonts w:ascii="Times New Roman" w:eastAsia="Times New Roman" w:hAnsi="Times New Roman" w:cs="Times New Roman"/>
        </w:rPr>
      </w:pPr>
      <w:hyperlink r:id="rId5" w:history="1">
        <w:r w:rsidRPr="00FC4A46">
          <w:rPr>
            <w:rStyle w:val="a3"/>
            <w:rFonts w:ascii="Times New Roman" w:eastAsia="Times New Roman" w:hAnsi="Times New Roman" w:cs="Times New Roman"/>
            <w:color w:val="660066"/>
          </w:rPr>
          <w:t>Neumark AI</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6" w:history="1">
        <w:r w:rsidRPr="00FC4A46">
          <w:rPr>
            <w:rStyle w:val="a3"/>
            <w:rFonts w:ascii="Times New Roman" w:eastAsia="Times New Roman" w:hAnsi="Times New Roman" w:cs="Times New Roman"/>
            <w:color w:val="660066"/>
          </w:rPr>
          <w:t>Neymark BA</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7" w:history="1">
        <w:r w:rsidRPr="00FC4A46">
          <w:rPr>
            <w:rStyle w:val="a3"/>
            <w:rFonts w:ascii="Times New Roman" w:eastAsia="Times New Roman" w:hAnsi="Times New Roman" w:cs="Times New Roman"/>
            <w:color w:val="660066"/>
          </w:rPr>
          <w:t>Nozdrachev NA</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8" w:history="1">
        <w:r w:rsidRPr="00FC4A46">
          <w:rPr>
            <w:rStyle w:val="a3"/>
            <w:rFonts w:ascii="Times New Roman" w:eastAsia="Times New Roman" w:hAnsi="Times New Roman" w:cs="Times New Roman"/>
            <w:color w:val="660066"/>
          </w:rPr>
          <w:t>Bryukhanov VM</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9" w:history="1">
        <w:r w:rsidRPr="00FC4A46">
          <w:rPr>
            <w:rStyle w:val="a3"/>
            <w:rFonts w:ascii="Times New Roman" w:eastAsia="Times New Roman" w:hAnsi="Times New Roman" w:cs="Times New Roman"/>
            <w:color w:val="660066"/>
          </w:rPr>
          <w:t>Plotnikova AY</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0" w:history="1">
        <w:r w:rsidRPr="00FC4A46">
          <w:rPr>
            <w:rStyle w:val="a3"/>
            <w:rFonts w:ascii="Times New Roman" w:eastAsia="Times New Roman" w:hAnsi="Times New Roman" w:cs="Times New Roman"/>
            <w:color w:val="660066"/>
          </w:rPr>
          <w:t>Podpruzhnikova DA</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1" w:history="1">
        <w:r w:rsidRPr="00FC4A46">
          <w:rPr>
            <w:rStyle w:val="a3"/>
            <w:rFonts w:ascii="Times New Roman" w:eastAsia="Times New Roman" w:hAnsi="Times New Roman" w:cs="Times New Roman"/>
            <w:color w:val="660066"/>
          </w:rPr>
          <w:t>Nikulina AA</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p>
    <w:p w:rsidR="001D50C4" w:rsidRPr="00FC4A46" w:rsidRDefault="001D50C4" w:rsidP="00FC4A46">
      <w:pPr>
        <w:pStyle w:val="3"/>
        <w:spacing w:before="0" w:beforeAutospacing="0" w:after="0" w:afterAutospacing="0"/>
        <w:jc w:val="both"/>
        <w:rPr>
          <w:rFonts w:eastAsia="Times New Roman" w:cs="Times New Roman"/>
          <w:color w:val="724128"/>
          <w:sz w:val="24"/>
          <w:szCs w:val="24"/>
        </w:rPr>
      </w:pPr>
      <w:hyperlink r:id="rId12" w:tooltip="Open/close author information list" w:history="1">
        <w:r w:rsidRPr="00FC4A46">
          <w:rPr>
            <w:rStyle w:val="ui-ncbitoggler-master-text"/>
            <w:rFonts w:eastAsia="Times New Roman" w:cs="Times New Roman"/>
            <w:color w:val="660066"/>
            <w:sz w:val="24"/>
            <w:szCs w:val="24"/>
            <w:u w:val="single"/>
          </w:rPr>
          <w:t>Author information</w:t>
        </w:r>
      </w:hyperlink>
    </w:p>
    <w:p w:rsidR="001D50C4" w:rsidRPr="00FC4A46" w:rsidRDefault="001D50C4"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The causes of male infertility remain unclear in 30-75% cases and are considered idiopathic. The study of influence of free oxygen radicals on the male reproductive function is of outmost interest. Given the important role of hyaluronidase in the penetration of sperm into the egg, we decided to evaluate the drug</w:t>
      </w:r>
      <w:r w:rsidRPr="00FC4A46">
        <w:rPr>
          <w:rStyle w:val="apple-converted-space"/>
          <w:sz w:val="24"/>
          <w:szCs w:val="24"/>
        </w:rPr>
        <w:t> </w:t>
      </w:r>
      <w:r w:rsidRPr="00FC4A46">
        <w:rPr>
          <w:rStyle w:val="highlight"/>
          <w:sz w:val="24"/>
          <w:szCs w:val="24"/>
        </w:rPr>
        <w:t>Longidaza</w:t>
      </w:r>
      <w:r w:rsidRPr="00FC4A46">
        <w:rPr>
          <w:sz w:val="24"/>
          <w:szCs w:val="24"/>
        </w:rPr>
        <w:t>, which has long-acting enzymatic (proteolytic) activity. A total of 48 men with idiopathic infertility were included in the study. All patients were divided into two groups (24 men each). In Group 1 there was a recommendation to attempt to conceive for 1 year without additional treatment. In Group 2, patients were prescribed</w:t>
      </w:r>
      <w:r w:rsidRPr="00FC4A46">
        <w:rPr>
          <w:rStyle w:val="apple-converted-space"/>
          <w:sz w:val="24"/>
          <w:szCs w:val="24"/>
        </w:rPr>
        <w:t> </w:t>
      </w:r>
      <w:r w:rsidRPr="00FC4A46">
        <w:rPr>
          <w:rStyle w:val="highlight"/>
          <w:sz w:val="24"/>
          <w:szCs w:val="24"/>
        </w:rPr>
        <w:t>Longidaza</w:t>
      </w:r>
      <w:r w:rsidRPr="00FC4A46">
        <w:rPr>
          <w:rStyle w:val="apple-converted-space"/>
          <w:sz w:val="24"/>
          <w:szCs w:val="24"/>
        </w:rPr>
        <w:t> </w:t>
      </w:r>
      <w:r w:rsidRPr="00FC4A46">
        <w:rPr>
          <w:sz w:val="24"/>
          <w:szCs w:val="24"/>
        </w:rPr>
        <w:t>according to the proposed scheme. During the follow-up, there was a significant improvement in the antioxidant defense system of the ejaculate in Group 2, which was accompanied by an increase in the fertilizing ability of the ejaculate and an increase in number of conceptions by 29.1.</w:t>
      </w:r>
    </w:p>
    <w:p w:rsidR="00FC4A46" w:rsidRDefault="00FC4A46" w:rsidP="00FC4A46">
      <w:pPr>
        <w:pStyle w:val="a4"/>
        <w:spacing w:before="0" w:beforeAutospacing="0" w:after="120" w:afterAutospacing="0" w:line="369" w:lineRule="atLeast"/>
        <w:jc w:val="both"/>
        <w:rPr>
          <w:b/>
          <w:sz w:val="24"/>
          <w:szCs w:val="24"/>
        </w:rPr>
      </w:pPr>
    </w:p>
    <w:p w:rsidR="001D50C4" w:rsidRPr="00FC4A46" w:rsidRDefault="001D50C4" w:rsidP="00FC4A46">
      <w:pPr>
        <w:pStyle w:val="a4"/>
        <w:spacing w:before="0" w:beforeAutospacing="0" w:after="120" w:afterAutospacing="0" w:line="369" w:lineRule="atLeast"/>
        <w:jc w:val="both"/>
        <w:rPr>
          <w:b/>
          <w:sz w:val="24"/>
          <w:szCs w:val="24"/>
        </w:rPr>
      </w:pPr>
      <w:r w:rsidRPr="00FC4A46">
        <w:rPr>
          <w:b/>
          <w:sz w:val="24"/>
          <w:szCs w:val="24"/>
        </w:rPr>
        <w:t>Гугл Перевод</w:t>
      </w: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Влияние протеолитических ферментов на антиоксидантную защитную систему у бесплодных женатых мужчин</w:t>
      </w:r>
    </w:p>
    <w:p w:rsidR="001D50C4" w:rsidRPr="00FC4A46" w:rsidRDefault="001D50C4" w:rsidP="00FC4A46">
      <w:pPr>
        <w:jc w:val="both"/>
        <w:rPr>
          <w:rFonts w:ascii="Times New Roman" w:hAnsi="Times New Roman" w:cs="Times New Roman"/>
        </w:rPr>
      </w:pP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[Статья на русском]</w:t>
      </w: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Неймарк А.И., Неймарк Б.А.1, Ноздрачев Н.А.1, Брюханов В.М.1, Плотникова А.Ю., Подпружникова Д.А.1, Никулина А.А.1.</w:t>
      </w: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Информация об авторе</w:t>
      </w: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абстрактный</w:t>
      </w:r>
    </w:p>
    <w:p w:rsidR="001D50C4" w:rsidRPr="00FC4A46" w:rsidRDefault="001D50C4" w:rsidP="00FC4A46">
      <w:pPr>
        <w:jc w:val="both"/>
        <w:rPr>
          <w:rFonts w:ascii="Times New Roman" w:hAnsi="Times New Roman" w:cs="Times New Roman"/>
        </w:rPr>
      </w:pPr>
      <w:r w:rsidRPr="00FC4A46">
        <w:rPr>
          <w:rFonts w:ascii="Times New Roman" w:hAnsi="Times New Roman" w:cs="Times New Roman"/>
        </w:rPr>
        <w:t>Причины мужского бесплодия остаются неясными в 30-75% случаев и считаются идиопатическими. Изучение влияния свободных кислородных радикалов на репродуктивную функцию у мужчин представляет наибольший интерес. Учитывая важную роль гиалуронидазы в проникновении сперматозоидов в яйцеклетку, мы решили оценить препарат Лонгидаза, который обладает ферментативной (протеолитической) активностью пролонгированного действия. Всего в исследование было включено 48 мужчин с идиопатическим бесплодием. Все пациенты были разделены на две группы (по 24 мужчины в каждой). В группе 1 была рекомендация попытаться забеременеть в течение 1 года без дополнительного лечения. Во 2-й группе пациентам была назначена Лонгидаза по предложенной схеме. Во время наблюдения в группе 2 наблюдалось значительное улучшение системы антиоксидантной защиты эякулята, что сопровождалось увеличением оплодотворяющей способности эякулята и увеличением числа зачатий на 29,1.</w:t>
      </w:r>
    </w:p>
    <w:p w:rsidR="001D50C4" w:rsidRPr="00FC4A46" w:rsidRDefault="001D50C4" w:rsidP="00FC4A46">
      <w:pPr>
        <w:pStyle w:val="a4"/>
        <w:spacing w:before="0" w:beforeAutospacing="0" w:after="120" w:afterAutospacing="0" w:line="369" w:lineRule="atLeast"/>
        <w:jc w:val="both"/>
        <w:rPr>
          <w:sz w:val="24"/>
          <w:szCs w:val="24"/>
        </w:rPr>
      </w:pPr>
    </w:p>
    <w:p w:rsidR="001D50C4" w:rsidRPr="00FC4A46" w:rsidRDefault="001D50C4" w:rsidP="00FC4A46">
      <w:pPr>
        <w:jc w:val="both"/>
        <w:rPr>
          <w:rFonts w:ascii="Times New Roman" w:eastAsia="Times New Roman" w:hAnsi="Times New Roman" w:cs="Times New Roman"/>
        </w:rPr>
      </w:pPr>
    </w:p>
    <w:p w:rsidR="001D50C4" w:rsidRPr="00FC4A46" w:rsidRDefault="001D50C4" w:rsidP="00FC4A46">
      <w:pPr>
        <w:jc w:val="both"/>
        <w:rPr>
          <w:rFonts w:ascii="Times New Roman" w:hAnsi="Times New Roman" w:cs="Times New Roman"/>
          <w:b/>
        </w:rPr>
      </w:pPr>
    </w:p>
    <w:p w:rsidR="00855846" w:rsidRPr="00FC4A46" w:rsidRDefault="00855846" w:rsidP="00FC4A46">
      <w:pPr>
        <w:jc w:val="both"/>
        <w:rPr>
          <w:rFonts w:ascii="Times New Roman" w:hAnsi="Times New Roman" w:cs="Times New Roman"/>
          <w:b/>
        </w:rPr>
      </w:pPr>
    </w:p>
    <w:p w:rsidR="001D50C4" w:rsidRPr="00FC4A46" w:rsidRDefault="001D50C4" w:rsidP="00FC4A46">
      <w:pPr>
        <w:jc w:val="both"/>
        <w:rPr>
          <w:rFonts w:ascii="Times New Roman" w:hAnsi="Times New Roman" w:cs="Times New Roman"/>
          <w:b/>
        </w:rPr>
      </w:pPr>
    </w:p>
    <w:p w:rsidR="001D50C4" w:rsidRPr="00FC4A46" w:rsidRDefault="001D50C4" w:rsidP="00FC4A46">
      <w:pPr>
        <w:jc w:val="both"/>
        <w:rPr>
          <w:rFonts w:ascii="Times New Roman" w:hAnsi="Times New Roman" w:cs="Times New Roman"/>
          <w:b/>
        </w:rPr>
      </w:pPr>
    </w:p>
    <w:p w:rsidR="001D50C4" w:rsidRPr="00FC4A46" w:rsidRDefault="001D50C4" w:rsidP="00FC4A46">
      <w:pPr>
        <w:pStyle w:val="1"/>
        <w:spacing w:before="120" w:beforeAutospacing="0" w:after="120" w:afterAutospacing="0" w:line="300" w:lineRule="atLeast"/>
        <w:jc w:val="both"/>
        <w:rPr>
          <w:rFonts w:eastAsia="Times New Roman" w:cs="Times New Roman"/>
          <w:color w:val="000000"/>
          <w:sz w:val="24"/>
          <w:szCs w:val="24"/>
        </w:rPr>
      </w:pPr>
      <w:r w:rsidRPr="00FC4A46">
        <w:rPr>
          <w:rFonts w:eastAsia="Times New Roman" w:cs="Times New Roman"/>
          <w:color w:val="000000"/>
          <w:sz w:val="24"/>
          <w:szCs w:val="24"/>
        </w:rPr>
        <w:t>[Rationale of use and effectiveness of</w:t>
      </w:r>
      <w:r w:rsidRPr="00FC4A46">
        <w:rPr>
          <w:rStyle w:val="apple-converted-space"/>
          <w:rFonts w:eastAsia="Times New Roman" w:cs="Times New Roman"/>
          <w:color w:val="000000"/>
          <w:sz w:val="24"/>
          <w:szCs w:val="24"/>
        </w:rPr>
        <w:t> </w:t>
      </w:r>
      <w:r w:rsidRPr="00FC4A46">
        <w:rPr>
          <w:rStyle w:val="highlight"/>
          <w:rFonts w:eastAsia="Times New Roman" w:cs="Times New Roman"/>
          <w:color w:val="000000"/>
          <w:sz w:val="24"/>
          <w:szCs w:val="24"/>
        </w:rPr>
        <w:t>Longidaza</w:t>
      </w:r>
      <w:r w:rsidRPr="00FC4A46">
        <w:rPr>
          <w:rStyle w:val="apple-converted-space"/>
          <w:rFonts w:eastAsia="Times New Roman" w:cs="Times New Roman"/>
          <w:color w:val="000000"/>
          <w:sz w:val="24"/>
          <w:szCs w:val="24"/>
        </w:rPr>
        <w:t> </w:t>
      </w:r>
      <w:r w:rsidRPr="00FC4A46">
        <w:rPr>
          <w:rFonts w:eastAsia="Times New Roman" w:cs="Times New Roman"/>
          <w:color w:val="000000"/>
          <w:sz w:val="24"/>
          <w:szCs w:val="24"/>
        </w:rPr>
        <w:t>in patients with chronic prostatitis].</w:t>
      </w:r>
    </w:p>
    <w:p w:rsidR="001D50C4" w:rsidRPr="00FC4A46" w:rsidRDefault="001D50C4" w:rsidP="00FC4A46">
      <w:pPr>
        <w:jc w:val="both"/>
        <w:rPr>
          <w:rFonts w:ascii="Times New Roman" w:eastAsia="Times New Roman" w:hAnsi="Times New Roman" w:cs="Times New Roman"/>
        </w:rPr>
      </w:pPr>
      <w:hyperlink r:id="rId13" w:history="1">
        <w:r w:rsidRPr="00FC4A46">
          <w:rPr>
            <w:rStyle w:val="a3"/>
            <w:rFonts w:ascii="Times New Roman" w:eastAsia="Times New Roman" w:hAnsi="Times New Roman" w:cs="Times New Roman"/>
            <w:color w:val="660066"/>
          </w:rPr>
          <w:t>Kulchavenya EV</w:t>
        </w:r>
      </w:hyperlink>
      <w:r w:rsidRPr="00FC4A46">
        <w:rPr>
          <w:rFonts w:ascii="Times New Roman" w:eastAsia="Times New Roman" w:hAnsi="Times New Roman" w:cs="Times New Roman"/>
          <w:vertAlign w:val="superscript"/>
        </w:rPr>
        <w:t>1,2,3</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4" w:history="1">
        <w:r w:rsidRPr="00FC4A46">
          <w:rPr>
            <w:rStyle w:val="a3"/>
            <w:rFonts w:ascii="Times New Roman" w:eastAsia="Times New Roman" w:hAnsi="Times New Roman" w:cs="Times New Roman"/>
            <w:color w:val="660066"/>
          </w:rPr>
          <w:t>Shvetsova OP</w:t>
        </w:r>
      </w:hyperlink>
      <w:r w:rsidRPr="00FC4A46">
        <w:rPr>
          <w:rFonts w:ascii="Times New Roman" w:eastAsia="Times New Roman" w:hAnsi="Times New Roman" w:cs="Times New Roman"/>
          <w:vertAlign w:val="superscript"/>
        </w:rPr>
        <w:t>1,2,3</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5" w:history="1">
        <w:r w:rsidRPr="00FC4A46">
          <w:rPr>
            <w:rStyle w:val="a3"/>
            <w:rFonts w:ascii="Times New Roman" w:eastAsia="Times New Roman" w:hAnsi="Times New Roman" w:cs="Times New Roman"/>
            <w:color w:val="660066"/>
          </w:rPr>
          <w:t>Breusov AA</w:t>
        </w:r>
      </w:hyperlink>
      <w:r w:rsidRPr="00FC4A46">
        <w:rPr>
          <w:rFonts w:ascii="Times New Roman" w:eastAsia="Times New Roman" w:hAnsi="Times New Roman" w:cs="Times New Roman"/>
          <w:vertAlign w:val="superscript"/>
        </w:rPr>
        <w:t>1,2,3</w:t>
      </w:r>
      <w:r w:rsidRPr="00FC4A46">
        <w:rPr>
          <w:rFonts w:ascii="Times New Roman" w:eastAsia="Times New Roman" w:hAnsi="Times New Roman" w:cs="Times New Roman"/>
        </w:rPr>
        <w:t>.</w:t>
      </w:r>
    </w:p>
    <w:p w:rsidR="001D50C4" w:rsidRPr="00FC4A46" w:rsidRDefault="001D50C4" w:rsidP="00FC4A46">
      <w:pPr>
        <w:pStyle w:val="3"/>
        <w:spacing w:before="0" w:beforeAutospacing="0" w:after="0" w:afterAutospacing="0"/>
        <w:jc w:val="both"/>
        <w:rPr>
          <w:rFonts w:eastAsia="Times New Roman" w:cs="Times New Roman"/>
          <w:color w:val="724128"/>
          <w:sz w:val="24"/>
          <w:szCs w:val="24"/>
        </w:rPr>
      </w:pPr>
      <w:hyperlink r:id="rId16" w:tooltip="Open/close author information list" w:history="1">
        <w:r w:rsidRPr="00FC4A46">
          <w:rPr>
            <w:rStyle w:val="ui-ncbitoggler-master-text"/>
            <w:rFonts w:eastAsia="Times New Roman" w:cs="Times New Roman"/>
            <w:color w:val="660066"/>
            <w:sz w:val="24"/>
            <w:szCs w:val="24"/>
            <w:u w:val="single"/>
          </w:rPr>
          <w:t>Author information</w:t>
        </w:r>
      </w:hyperlink>
    </w:p>
    <w:p w:rsidR="001D50C4" w:rsidRPr="00FC4A46" w:rsidRDefault="001D50C4"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1D50C4" w:rsidRPr="00FC4A46" w:rsidRDefault="001D50C4"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INTRODUCTION:</w:t>
      </w:r>
      <w:r w:rsidRPr="00FC4A46">
        <w:rPr>
          <w:rStyle w:val="apple-converted-space"/>
          <w:rFonts w:ascii="Times New Roman" w:eastAsia="Times New Roman" w:hAnsi="Times New Roman" w:cs="Times New Roman"/>
          <w:caps/>
          <w:color w:val="000000"/>
        </w:rPr>
        <w:t> </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Chronic inflammation of the prostate leads to the formation of excess fibrous connective tissue, which hinders patients recovery and aggravates the symptoms.</w:t>
      </w:r>
    </w:p>
    <w:p w:rsidR="001D50C4" w:rsidRPr="00FC4A46" w:rsidRDefault="001D50C4"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AIM:</w:t>
      </w:r>
      <w:r w:rsidRPr="00FC4A46">
        <w:rPr>
          <w:rStyle w:val="apple-converted-space"/>
          <w:rFonts w:ascii="Times New Roman" w:eastAsia="Times New Roman" w:hAnsi="Times New Roman" w:cs="Times New Roman"/>
          <w:caps/>
          <w:color w:val="000000"/>
        </w:rPr>
        <w:t> </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This study aimed to confirm the correlation between inflammation and prostatic fibrosis and the abnormalities of urodynamic and microcirculation in the prostate gland in humans, and the possibility of increasing the effectiveness of treatment of patients with chronic nonbacterial prostatitis using antisclerotic therapy.</w:t>
      </w:r>
    </w:p>
    <w:p w:rsidR="001D50C4" w:rsidRPr="00FC4A46" w:rsidRDefault="001D50C4"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MATERIAL AND METHODS:</w:t>
      </w:r>
      <w:r w:rsidRPr="00FC4A46">
        <w:rPr>
          <w:rStyle w:val="apple-converted-space"/>
          <w:rFonts w:ascii="Times New Roman" w:eastAsia="Times New Roman" w:hAnsi="Times New Roman" w:cs="Times New Roman"/>
          <w:caps/>
          <w:color w:val="000000"/>
        </w:rPr>
        <w:t> </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The study was carried out in two stages. At the first stage, pathomorphological findings, uroflowmetry data and degree of microcirculation disturbance were studied in 18 patients with chronic prostatitis who underwent prostate biopsy. At the second stage, an open prospective randomized comparative study was conducted. Two groups of patients with chronic nonbacterial prostatitis with signs of inflammation were formed. A control group (n=29) received standard treatment, rectal 0.5 methyluracil suppositories three times per week, 20 suppositories per course. In addition to the standard treatment, the patients of the study group (n=31) were administered</w:t>
      </w:r>
      <w:r w:rsidRPr="00FC4A46">
        <w:rPr>
          <w:rStyle w:val="apple-converted-space"/>
          <w:sz w:val="24"/>
          <w:szCs w:val="24"/>
        </w:rPr>
        <w:t> </w:t>
      </w:r>
      <w:r w:rsidRPr="00FC4A46">
        <w:rPr>
          <w:rStyle w:val="highlight"/>
          <w:sz w:val="24"/>
          <w:szCs w:val="24"/>
        </w:rPr>
        <w:t>Longidaza</w:t>
      </w:r>
      <w:r w:rsidRPr="00FC4A46">
        <w:rPr>
          <w:sz w:val="24"/>
          <w:szCs w:val="24"/>
        </w:rPr>
        <w:t>3000 IU rectal suppositories also three times a week, 20 suppositories per course.</w:t>
      </w:r>
    </w:p>
    <w:p w:rsidR="001D50C4" w:rsidRPr="00FC4A46" w:rsidRDefault="001D50C4"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RESULTS:</w:t>
      </w:r>
      <w:r w:rsidRPr="00FC4A46">
        <w:rPr>
          <w:rStyle w:val="apple-converted-space"/>
          <w:rFonts w:ascii="Times New Roman" w:eastAsia="Times New Roman" w:hAnsi="Times New Roman" w:cs="Times New Roman"/>
          <w:caps/>
          <w:color w:val="000000"/>
        </w:rPr>
        <w:t> </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Prostatic fibrosis worsens microcirculation by one and half times and statistically significantly negatively affects urodynamic. Using</w:t>
      </w:r>
      <w:r w:rsidRPr="00FC4A46">
        <w:rPr>
          <w:rStyle w:val="apple-converted-space"/>
          <w:sz w:val="24"/>
          <w:szCs w:val="24"/>
        </w:rPr>
        <w:t> </w:t>
      </w:r>
      <w:r w:rsidRPr="00FC4A46">
        <w:rPr>
          <w:rStyle w:val="highlight"/>
          <w:sz w:val="24"/>
          <w:szCs w:val="24"/>
        </w:rPr>
        <w:t>Longidaza</w:t>
      </w:r>
      <w:r w:rsidRPr="00FC4A46">
        <w:rPr>
          <w:rStyle w:val="apple-converted-space"/>
          <w:sz w:val="24"/>
          <w:szCs w:val="24"/>
        </w:rPr>
        <w:t> </w:t>
      </w:r>
      <w:r w:rsidRPr="00FC4A46">
        <w:rPr>
          <w:sz w:val="24"/>
          <w:szCs w:val="24"/>
        </w:rPr>
        <w:t>resulted in neutralizing the negative consequences of the formation of excess fibrous connective tissue. Overall, an excellent and good effect was achieved in 21 (67.7%) and 9 (29.1%) patients of the study group, respectively; only in one case (3.2%) there was no effect. In the control group, an excellent and good effect was achieved in 14 (48.3%) and 11 (37.9%) patients, respectively; in 4 patients (13.8%) the treatment was considered of low effectiveness.</w:t>
      </w:r>
    </w:p>
    <w:p w:rsidR="001D50C4" w:rsidRPr="00FC4A46" w:rsidRDefault="001D50C4"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CONCLUSIONS:</w:t>
      </w:r>
      <w:r w:rsidRPr="00FC4A46">
        <w:rPr>
          <w:rStyle w:val="apple-converted-space"/>
          <w:rFonts w:ascii="Times New Roman" w:eastAsia="Times New Roman" w:hAnsi="Times New Roman" w:cs="Times New Roman"/>
          <w:caps/>
          <w:color w:val="000000"/>
        </w:rPr>
        <w:t> </w:t>
      </w:r>
    </w:p>
    <w:p w:rsidR="00FC4A46" w:rsidRDefault="001D50C4" w:rsidP="00FC4A46">
      <w:pPr>
        <w:pStyle w:val="a4"/>
        <w:spacing w:before="0" w:beforeAutospacing="0" w:after="120" w:afterAutospacing="0" w:line="369" w:lineRule="atLeast"/>
        <w:jc w:val="both"/>
        <w:rPr>
          <w:sz w:val="24"/>
          <w:szCs w:val="24"/>
        </w:rPr>
      </w:pPr>
      <w:r w:rsidRPr="00FC4A46">
        <w:rPr>
          <w:sz w:val="24"/>
          <w:szCs w:val="24"/>
        </w:rPr>
        <w:t>Prevention of the fibrous connective tissue formation and regression of the fibrosis are pathogenetically valid. Anti-sclerotic enzyme therapy with</w:t>
      </w:r>
      <w:r w:rsidRPr="00FC4A46">
        <w:rPr>
          <w:rStyle w:val="apple-converted-space"/>
          <w:sz w:val="24"/>
          <w:szCs w:val="24"/>
        </w:rPr>
        <w:t> </w:t>
      </w:r>
      <w:r w:rsidRPr="00FC4A46">
        <w:rPr>
          <w:rStyle w:val="highlight"/>
          <w:sz w:val="24"/>
          <w:szCs w:val="24"/>
        </w:rPr>
        <w:t>Longidaza</w:t>
      </w:r>
      <w:r w:rsidRPr="00FC4A46">
        <w:rPr>
          <w:rStyle w:val="apple-converted-space"/>
          <w:sz w:val="24"/>
          <w:szCs w:val="24"/>
        </w:rPr>
        <w:t> </w:t>
      </w:r>
      <w:r w:rsidRPr="00FC4A46">
        <w:rPr>
          <w:sz w:val="24"/>
          <w:szCs w:val="24"/>
        </w:rPr>
        <w:t>in the form of rectal suppositories results in a significant improvement in the symptoms of prostatitis, an increase in the maximum urinary flow rate and an improvement in the microcirculation of the prostate.</w:t>
      </w:r>
    </w:p>
    <w:p w:rsidR="001D50C4" w:rsidRPr="00FC4A46" w:rsidRDefault="001D50C4" w:rsidP="00FC4A46">
      <w:pPr>
        <w:pStyle w:val="a4"/>
        <w:spacing w:before="0" w:beforeAutospacing="0" w:after="120" w:afterAutospacing="0" w:line="369" w:lineRule="atLeast"/>
        <w:jc w:val="both"/>
        <w:rPr>
          <w:sz w:val="24"/>
          <w:szCs w:val="24"/>
        </w:rPr>
      </w:pPr>
      <w:r w:rsidRPr="00FC4A46">
        <w:rPr>
          <w:b/>
          <w:sz w:val="24"/>
          <w:szCs w:val="24"/>
        </w:rPr>
        <w:t>Гугл Перевод</w:t>
      </w:r>
    </w:p>
    <w:p w:rsidR="001D50C4" w:rsidRPr="00FC4A46" w:rsidRDefault="001D50C4" w:rsidP="00C33B69">
      <w:pPr>
        <w:pStyle w:val="a4"/>
        <w:spacing w:after="120"/>
        <w:jc w:val="both"/>
        <w:rPr>
          <w:sz w:val="24"/>
          <w:szCs w:val="24"/>
        </w:rPr>
      </w:pPr>
      <w:r w:rsidRPr="00FC4A46">
        <w:rPr>
          <w:sz w:val="24"/>
          <w:szCs w:val="24"/>
        </w:rPr>
        <w:t>Обоснование применения и эффективность Лонгидазы у больных хроническим простатитом.</w:t>
      </w:r>
    </w:p>
    <w:p w:rsidR="001D50C4" w:rsidRPr="00FC4A46" w:rsidRDefault="001D50C4" w:rsidP="00C33B69">
      <w:pPr>
        <w:pStyle w:val="a4"/>
        <w:spacing w:after="120"/>
        <w:jc w:val="both"/>
        <w:rPr>
          <w:sz w:val="24"/>
          <w:szCs w:val="24"/>
        </w:rPr>
      </w:pPr>
      <w:r w:rsidRPr="00FC4A46">
        <w:rPr>
          <w:sz w:val="24"/>
          <w:szCs w:val="24"/>
        </w:rPr>
        <w:t>Кульчавеня Е.В. 1,2,3, Швецова О.П. 1,2,3, Бреусов А.А. 1,2,2.</w:t>
      </w:r>
    </w:p>
    <w:p w:rsidR="001D50C4" w:rsidRPr="00FC4A46" w:rsidRDefault="001D50C4" w:rsidP="00C33B69">
      <w:pPr>
        <w:pStyle w:val="a4"/>
        <w:spacing w:after="120"/>
        <w:jc w:val="both"/>
        <w:rPr>
          <w:sz w:val="24"/>
          <w:szCs w:val="24"/>
        </w:rPr>
      </w:pPr>
      <w:r w:rsidRPr="00FC4A46">
        <w:rPr>
          <w:sz w:val="24"/>
          <w:szCs w:val="24"/>
        </w:rPr>
        <w:t>ВСТУПЛЕНИЕ:</w:t>
      </w:r>
    </w:p>
    <w:p w:rsidR="001D50C4" w:rsidRPr="00FC4A46" w:rsidRDefault="001D50C4" w:rsidP="00C33B69">
      <w:pPr>
        <w:pStyle w:val="a4"/>
        <w:spacing w:after="120"/>
        <w:jc w:val="both"/>
        <w:rPr>
          <w:sz w:val="24"/>
          <w:szCs w:val="24"/>
        </w:rPr>
      </w:pPr>
      <w:r w:rsidRPr="00FC4A46">
        <w:rPr>
          <w:sz w:val="24"/>
          <w:szCs w:val="24"/>
        </w:rPr>
        <w:t>Хроническое воспаление предстательной железы приводит к образованию избытка волокнистой соединительной ткани, что затрудняет выздоровление пациентов и усугубляет симптомы.</w:t>
      </w:r>
      <w:bookmarkStart w:id="0" w:name="_GoBack"/>
      <w:bookmarkEnd w:id="0"/>
    </w:p>
    <w:p w:rsidR="001D50C4" w:rsidRPr="00FC4A46" w:rsidRDefault="001D50C4" w:rsidP="00C33B69">
      <w:pPr>
        <w:pStyle w:val="a4"/>
        <w:spacing w:after="120"/>
        <w:jc w:val="both"/>
        <w:rPr>
          <w:sz w:val="24"/>
          <w:szCs w:val="24"/>
        </w:rPr>
      </w:pPr>
      <w:r w:rsidRPr="00FC4A46">
        <w:rPr>
          <w:sz w:val="24"/>
          <w:szCs w:val="24"/>
        </w:rPr>
        <w:t>AIM:</w:t>
      </w:r>
    </w:p>
    <w:p w:rsidR="001D50C4" w:rsidRPr="00FC4A46" w:rsidRDefault="001D50C4" w:rsidP="00C33B69">
      <w:pPr>
        <w:pStyle w:val="a4"/>
        <w:spacing w:after="120"/>
        <w:jc w:val="both"/>
        <w:rPr>
          <w:sz w:val="24"/>
          <w:szCs w:val="24"/>
        </w:rPr>
      </w:pPr>
      <w:r w:rsidRPr="00FC4A46">
        <w:rPr>
          <w:sz w:val="24"/>
          <w:szCs w:val="24"/>
        </w:rPr>
        <w:t>Это исследование было направлено на подтверждение корреляции между воспалением и фиброзом предстательной железы и нарушениями уродинамики и микроциркуляции в предстательной железе у людей, а также возможностью повышения эффективности лечения пациентов с хроническим небактериальным простатитом с помощью антисклеротической терапии.</w:t>
      </w:r>
    </w:p>
    <w:p w:rsidR="001D50C4" w:rsidRPr="00FC4A46" w:rsidRDefault="001D50C4" w:rsidP="00C33B69">
      <w:pPr>
        <w:pStyle w:val="a4"/>
        <w:spacing w:after="120"/>
        <w:jc w:val="both"/>
        <w:rPr>
          <w:sz w:val="24"/>
          <w:szCs w:val="24"/>
        </w:rPr>
      </w:pPr>
      <w:r w:rsidRPr="00FC4A46">
        <w:rPr>
          <w:sz w:val="24"/>
          <w:szCs w:val="24"/>
        </w:rPr>
        <w:t>МАТЕРИАЛ И МЕТОДЫ:</w:t>
      </w:r>
    </w:p>
    <w:p w:rsidR="001D50C4" w:rsidRPr="00FC4A46" w:rsidRDefault="001D50C4" w:rsidP="00C33B69">
      <w:pPr>
        <w:pStyle w:val="a4"/>
        <w:spacing w:after="120"/>
        <w:jc w:val="both"/>
        <w:rPr>
          <w:sz w:val="24"/>
          <w:szCs w:val="24"/>
        </w:rPr>
      </w:pPr>
      <w:r w:rsidRPr="00FC4A46">
        <w:rPr>
          <w:sz w:val="24"/>
          <w:szCs w:val="24"/>
        </w:rPr>
        <w:t>Исследование проводилось в два этапа. На первом этапе были изучены патоморфологические данные, данные урофлоуметрии и степень нарушения микроциркуляции у 18 пациентов с хроническим простатитом, которым была выполнена биопсия простаты. На втором этапе было проведено открытое проспективное рандомизированное сравнительное исследование. Были сформированы две группы пациентов с хроническим небактериальным простатитом с признаками воспаления. Контрольная группа (n = 29) получала стандартное лечение, суппозитории метилурацил 0,5 ректально три раза в неделю, по 20 суппозиториев на курс. В дополнение к стандартному лечению пациентам основной группы (n = 31) назначали ректальные суппозитории Longidaza 3000 МЕ также три раза в неделю по 20 суппозиториев на курс.</w:t>
      </w:r>
    </w:p>
    <w:p w:rsidR="001D50C4" w:rsidRPr="00FC4A46" w:rsidRDefault="001D50C4" w:rsidP="00C33B69">
      <w:pPr>
        <w:pStyle w:val="a4"/>
        <w:spacing w:after="120"/>
        <w:jc w:val="both"/>
        <w:rPr>
          <w:sz w:val="24"/>
          <w:szCs w:val="24"/>
        </w:rPr>
      </w:pPr>
      <w:r w:rsidRPr="00FC4A46">
        <w:rPr>
          <w:sz w:val="24"/>
          <w:szCs w:val="24"/>
        </w:rPr>
        <w:t>РЕЗУЛЬТАТЫ:</w:t>
      </w:r>
    </w:p>
    <w:p w:rsidR="001D50C4" w:rsidRPr="00FC4A46" w:rsidRDefault="001D50C4" w:rsidP="00C33B69">
      <w:pPr>
        <w:pStyle w:val="a4"/>
        <w:spacing w:after="120"/>
        <w:jc w:val="both"/>
        <w:rPr>
          <w:sz w:val="24"/>
          <w:szCs w:val="24"/>
        </w:rPr>
      </w:pPr>
      <w:r w:rsidRPr="00FC4A46">
        <w:rPr>
          <w:sz w:val="24"/>
          <w:szCs w:val="24"/>
        </w:rPr>
        <w:t>Фиброз предстательной железы ухудшает микроциркуляцию в полтора раза и статистически значимо отрицательно влияет на уродинамику. Использование Лонгидазы привело к нейтрализации негативных последствий образования лишней волокнистой соединительной ткани. В целом, отличный и хороший эффект был достигнут у 21 (67,7%) и 9 (29,1%) пациентов основной группы соответственно; только в одном случае (3,2%) эффекта не было. В контрольной группе превосходный и хороший эффект был достигнут у 14 (48,3%) и 11 (37,9%) пациентов соответственно; у 4 пациентов (13,8%) лечение считалось малоэффективным.</w:t>
      </w:r>
    </w:p>
    <w:p w:rsidR="001D50C4" w:rsidRPr="00FC4A46" w:rsidRDefault="001D50C4" w:rsidP="00C33B69">
      <w:pPr>
        <w:pStyle w:val="a4"/>
        <w:spacing w:after="120"/>
        <w:jc w:val="both"/>
        <w:rPr>
          <w:sz w:val="24"/>
          <w:szCs w:val="24"/>
        </w:rPr>
      </w:pPr>
      <w:r w:rsidRPr="00FC4A46">
        <w:rPr>
          <w:sz w:val="24"/>
          <w:szCs w:val="24"/>
        </w:rPr>
        <w:t>ВЫВОДЫ:</w:t>
      </w:r>
    </w:p>
    <w:p w:rsidR="001D50C4" w:rsidRPr="00FC4A46" w:rsidRDefault="001D50C4" w:rsidP="00C33B69">
      <w:pPr>
        <w:pStyle w:val="a4"/>
        <w:spacing w:before="0" w:beforeAutospacing="0" w:after="120" w:afterAutospacing="0"/>
        <w:jc w:val="both"/>
        <w:rPr>
          <w:sz w:val="24"/>
          <w:szCs w:val="24"/>
        </w:rPr>
      </w:pPr>
      <w:r w:rsidRPr="00FC4A46">
        <w:rPr>
          <w:sz w:val="24"/>
          <w:szCs w:val="24"/>
        </w:rPr>
        <w:t>Профилактика образования волокнистой соединительной ткани и регресс фиброза являются патогенетически обоснованными. Антисклеротическая энзимотерапия лонгидазой в форме ректальных суппозиториев приводит к значительному улучшению симптомов простатита, увеличению максимальной скорости мочеиспускания и улучшению микроциркуляции простаты.</w:t>
      </w:r>
    </w:p>
    <w:p w:rsidR="001D50C4" w:rsidRPr="00FC4A46" w:rsidRDefault="001D50C4" w:rsidP="00FC4A46">
      <w:pPr>
        <w:pStyle w:val="a4"/>
        <w:spacing w:before="0" w:beforeAutospacing="0" w:after="120" w:afterAutospacing="0" w:line="369" w:lineRule="atLeast"/>
        <w:jc w:val="both"/>
        <w:rPr>
          <w:sz w:val="24"/>
          <w:szCs w:val="24"/>
        </w:rPr>
      </w:pPr>
    </w:p>
    <w:p w:rsidR="001D50C4" w:rsidRPr="00FC4A46" w:rsidRDefault="001D50C4" w:rsidP="00FC4A46">
      <w:pPr>
        <w:pStyle w:val="1"/>
        <w:spacing w:before="120" w:beforeAutospacing="0" w:after="120" w:afterAutospacing="0" w:line="300" w:lineRule="atLeast"/>
        <w:jc w:val="both"/>
        <w:rPr>
          <w:rFonts w:eastAsia="Times New Roman" w:cs="Times New Roman"/>
          <w:color w:val="000000"/>
          <w:sz w:val="24"/>
          <w:szCs w:val="24"/>
        </w:rPr>
      </w:pPr>
      <w:r w:rsidRPr="00FC4A46">
        <w:rPr>
          <w:rFonts w:eastAsia="Times New Roman" w:cs="Times New Roman"/>
          <w:color w:val="000000"/>
          <w:sz w:val="24"/>
          <w:szCs w:val="24"/>
        </w:rPr>
        <w:t>[Bacterial prostatitis and prostatic fibrosis: modern view on the treatment and prophylaxis].</w:t>
      </w:r>
    </w:p>
    <w:p w:rsidR="001D50C4" w:rsidRPr="00FC4A46" w:rsidRDefault="001D50C4" w:rsidP="00FC4A46">
      <w:pPr>
        <w:jc w:val="both"/>
        <w:rPr>
          <w:rFonts w:ascii="Times New Roman" w:eastAsia="Times New Roman" w:hAnsi="Times New Roman" w:cs="Times New Roman"/>
        </w:rPr>
      </w:pPr>
      <w:hyperlink r:id="rId17" w:history="1">
        <w:r w:rsidRPr="00FC4A46">
          <w:rPr>
            <w:rStyle w:val="a3"/>
            <w:rFonts w:ascii="Times New Roman" w:eastAsia="Times New Roman" w:hAnsi="Times New Roman" w:cs="Times New Roman"/>
            <w:color w:val="660066"/>
          </w:rPr>
          <w:t>Zaitsev AV</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8" w:history="1">
        <w:r w:rsidRPr="00FC4A46">
          <w:rPr>
            <w:rStyle w:val="a3"/>
            <w:rFonts w:ascii="Times New Roman" w:eastAsia="Times New Roman" w:hAnsi="Times New Roman" w:cs="Times New Roman"/>
            <w:color w:val="660066"/>
          </w:rPr>
          <w:t>Pushkar DY</w:t>
        </w:r>
      </w:hyperlink>
      <w:r w:rsidRPr="00FC4A46">
        <w:rPr>
          <w:rFonts w:ascii="Times New Roman" w:eastAsia="Times New Roman" w:hAnsi="Times New Roman" w:cs="Times New Roman"/>
          <w:vertAlign w:val="superscript"/>
        </w:rPr>
        <w:t>1</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19" w:history="1">
        <w:r w:rsidRPr="00FC4A46">
          <w:rPr>
            <w:rStyle w:val="a3"/>
            <w:rFonts w:ascii="Times New Roman" w:eastAsia="Times New Roman" w:hAnsi="Times New Roman" w:cs="Times New Roman"/>
            <w:color w:val="660066"/>
          </w:rPr>
          <w:t>Khodyreva LA</w:t>
        </w:r>
      </w:hyperlink>
      <w:r w:rsidRPr="00FC4A46">
        <w:rPr>
          <w:rFonts w:ascii="Times New Roman" w:eastAsia="Times New Roman" w:hAnsi="Times New Roman" w:cs="Times New Roman"/>
          <w:vertAlign w:val="superscript"/>
        </w:rPr>
        <w:t>2</w:t>
      </w:r>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20" w:history="1">
        <w:r w:rsidRPr="00FC4A46">
          <w:rPr>
            <w:rStyle w:val="a3"/>
            <w:rFonts w:ascii="Times New Roman" w:eastAsia="Times New Roman" w:hAnsi="Times New Roman" w:cs="Times New Roman"/>
            <w:color w:val="660066"/>
          </w:rPr>
          <w:t>Dudareva AA</w:t>
        </w:r>
      </w:hyperlink>
      <w:r w:rsidRPr="00FC4A46">
        <w:rPr>
          <w:rFonts w:ascii="Times New Roman" w:eastAsia="Times New Roman" w:hAnsi="Times New Roman" w:cs="Times New Roman"/>
          <w:vertAlign w:val="superscript"/>
        </w:rPr>
        <w:t>2</w:t>
      </w:r>
      <w:r w:rsidRPr="00FC4A46">
        <w:rPr>
          <w:rFonts w:ascii="Times New Roman" w:eastAsia="Times New Roman" w:hAnsi="Times New Roman" w:cs="Times New Roman"/>
        </w:rPr>
        <w:t>.</w:t>
      </w:r>
    </w:p>
    <w:p w:rsidR="001D50C4" w:rsidRPr="00FC4A46" w:rsidRDefault="001D50C4" w:rsidP="00FC4A46">
      <w:pPr>
        <w:pStyle w:val="3"/>
        <w:spacing w:before="0" w:beforeAutospacing="0" w:after="0" w:afterAutospacing="0"/>
        <w:jc w:val="both"/>
        <w:rPr>
          <w:rFonts w:eastAsia="Times New Roman" w:cs="Times New Roman"/>
          <w:color w:val="724128"/>
          <w:sz w:val="24"/>
          <w:szCs w:val="24"/>
        </w:rPr>
      </w:pPr>
      <w:hyperlink r:id="rId21" w:tooltip="Open/close author information list" w:history="1">
        <w:r w:rsidRPr="00FC4A46">
          <w:rPr>
            <w:rStyle w:val="ui-ncbitoggler-master-text"/>
            <w:rFonts w:eastAsia="Times New Roman" w:cs="Times New Roman"/>
            <w:color w:val="660066"/>
            <w:sz w:val="24"/>
            <w:szCs w:val="24"/>
            <w:u w:val="single"/>
          </w:rPr>
          <w:t>Author information</w:t>
        </w:r>
      </w:hyperlink>
    </w:p>
    <w:p w:rsidR="001D50C4" w:rsidRPr="00FC4A46" w:rsidRDefault="001D50C4"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1D50C4" w:rsidRPr="00FC4A46" w:rsidRDefault="001D50C4" w:rsidP="00FC4A46">
      <w:pPr>
        <w:pStyle w:val="a4"/>
        <w:spacing w:before="0" w:beforeAutospacing="0" w:after="120" w:afterAutospacing="0" w:line="369" w:lineRule="atLeast"/>
        <w:jc w:val="both"/>
        <w:rPr>
          <w:sz w:val="24"/>
          <w:szCs w:val="24"/>
        </w:rPr>
      </w:pPr>
      <w:r w:rsidRPr="00FC4A46">
        <w:rPr>
          <w:sz w:val="24"/>
          <w:szCs w:val="24"/>
        </w:rPr>
        <w:t>Treatments of chronic bacterial prostatitis (CP) remain difficult problem. Bacterial prostatitis is a disease entity diagnosed clinically and by evidence of inflammation and infection localized to the prostate. Risk factors for UTI in men include urological interventions, such as transrectal prostate biopsy. Ensuing infections after prostate biopsy, such as UTI and bacterial prostatitis, are increasing due to increasing rates of fluoroquinolone resistance. The increasing global antibiotic resistance also significantly affects management of UTI in men, and therefore calls for alternative strategies. Prostatic inflammation has been suggested to contribute to the etiology of lower urinary tract symptoms (LUTS) by inducing fibrosis. Several studies have shown that prostatic fibrosis is strongly associated with impaired urethral function and LUTS severity. Fibrosis resulting from excessive deposition of collagen is traditionally recognized as a progressive irreversible condition and an end stage of inflammatory diseases; however, there is compelling evidence in both animal and human studies to support that the development of fibrosis could potentially be a reversible process. Prostate inflammation may induce fibrotic changes in periurethral prostatic tissues, promote urethral stiffness and LUTS. Patients experiencing CP and prostate-related LUTS could benefit from anti-inflammatory therapies, especially used in combination with the currently prescribed enzyme treatment with Longidase. Treatment results showed that longidase is highly effective in bacterial and abacterial CP. Longidase addition to standard therapeutic methods significantly reduced the disease symptoms and regression of inflammatory-proliferative alterations in the prostate.</w:t>
      </w:r>
    </w:p>
    <w:p w:rsidR="00697A5B" w:rsidRPr="00FC4A46" w:rsidRDefault="00697A5B" w:rsidP="00FC4A46">
      <w:pPr>
        <w:pStyle w:val="a4"/>
        <w:spacing w:before="0" w:beforeAutospacing="0" w:after="120" w:afterAutospacing="0" w:line="369" w:lineRule="atLeast"/>
        <w:jc w:val="both"/>
        <w:rPr>
          <w:sz w:val="24"/>
          <w:szCs w:val="24"/>
        </w:rPr>
      </w:pPr>
    </w:p>
    <w:p w:rsidR="00C33B69" w:rsidRDefault="00C33B69" w:rsidP="00FC4A46">
      <w:pPr>
        <w:pStyle w:val="a4"/>
        <w:spacing w:before="0" w:beforeAutospacing="0" w:after="120" w:afterAutospacing="0" w:line="369" w:lineRule="atLeast"/>
        <w:jc w:val="both"/>
        <w:rPr>
          <w:b/>
          <w:sz w:val="24"/>
          <w:szCs w:val="24"/>
        </w:rPr>
      </w:pPr>
    </w:p>
    <w:p w:rsidR="00C33B69" w:rsidRDefault="00C33B69" w:rsidP="00FC4A46">
      <w:pPr>
        <w:pStyle w:val="a4"/>
        <w:spacing w:before="0" w:beforeAutospacing="0" w:after="120" w:afterAutospacing="0" w:line="369" w:lineRule="atLeast"/>
        <w:jc w:val="both"/>
        <w:rPr>
          <w:b/>
          <w:sz w:val="24"/>
          <w:szCs w:val="24"/>
        </w:rPr>
      </w:pPr>
    </w:p>
    <w:p w:rsidR="00697A5B" w:rsidRPr="00C33B69" w:rsidRDefault="00697A5B" w:rsidP="00FC4A46">
      <w:pPr>
        <w:pStyle w:val="a4"/>
        <w:spacing w:before="0" w:beforeAutospacing="0" w:after="120" w:afterAutospacing="0" w:line="369" w:lineRule="atLeast"/>
        <w:jc w:val="both"/>
        <w:rPr>
          <w:b/>
          <w:sz w:val="24"/>
          <w:szCs w:val="24"/>
        </w:rPr>
      </w:pPr>
      <w:r w:rsidRPr="00C33B69">
        <w:rPr>
          <w:b/>
          <w:sz w:val="24"/>
          <w:szCs w:val="24"/>
        </w:rPr>
        <w:t xml:space="preserve">Гугл Перевод </w:t>
      </w:r>
    </w:p>
    <w:p w:rsidR="00697A5B" w:rsidRPr="00FC4A46" w:rsidRDefault="00697A5B" w:rsidP="00FC4A46">
      <w:pPr>
        <w:pStyle w:val="a4"/>
        <w:spacing w:after="120" w:line="369" w:lineRule="atLeast"/>
        <w:jc w:val="both"/>
        <w:rPr>
          <w:sz w:val="24"/>
          <w:szCs w:val="24"/>
        </w:rPr>
      </w:pPr>
      <w:r w:rsidRPr="00FC4A46">
        <w:rPr>
          <w:sz w:val="24"/>
          <w:szCs w:val="24"/>
        </w:rPr>
        <w:t>Бактериальный простатит и фиброз предстательной железы: современный взгляд на лечение и профилактику.</w:t>
      </w:r>
    </w:p>
    <w:p w:rsidR="00697A5B" w:rsidRPr="00FC4A46" w:rsidRDefault="00697A5B" w:rsidP="00FC4A46">
      <w:pPr>
        <w:pStyle w:val="a4"/>
        <w:spacing w:after="120" w:line="369" w:lineRule="atLeast"/>
        <w:jc w:val="both"/>
        <w:rPr>
          <w:sz w:val="24"/>
          <w:szCs w:val="24"/>
        </w:rPr>
      </w:pPr>
      <w:r w:rsidRPr="00FC4A46">
        <w:rPr>
          <w:sz w:val="24"/>
          <w:szCs w:val="24"/>
        </w:rPr>
        <w:t>Зайцев А.В., Пушкарь Д.Ю., Ходырева Л.А., Дударева А.А.</w:t>
      </w:r>
    </w:p>
    <w:p w:rsidR="00697A5B" w:rsidRPr="00FC4A46" w:rsidRDefault="00697A5B" w:rsidP="00FC4A46">
      <w:pPr>
        <w:pStyle w:val="a4"/>
        <w:spacing w:before="0" w:beforeAutospacing="0" w:after="120" w:afterAutospacing="0" w:line="369" w:lineRule="atLeast"/>
        <w:jc w:val="both"/>
        <w:rPr>
          <w:sz w:val="24"/>
          <w:szCs w:val="24"/>
        </w:rPr>
      </w:pPr>
      <w:r w:rsidRPr="00FC4A46">
        <w:rPr>
          <w:sz w:val="24"/>
          <w:szCs w:val="24"/>
        </w:rPr>
        <w:t>Лечение хронического бактериального простатита (ХП) остается сложной проблемой. Бактериальный простатит - это заболевание, которое диагностируется клинически и по признакам воспаления и инфекции локализуется в предстательной железе. Факторы риска развития ИМП у мужчин включают урологические вмешательства, такие как трансректальная биопсия простаты. Последующие инфекции после биопсии простаты, такие как ИМП и бактериальный простатит, увеличиваются из-за увеличения уровня устойчивости к фторхинолонам. Растущая глобальная устойчивость к антибиотикам также значительно влияет на ведение ИМП у мужчин, и поэтому требует альтернативных стратегий. Предполагается, что воспаление предстательной железы способствует этиологии симптомов нижних мочевых путей, вызывая фиброз. Несколько исследований показали, что фиброз предстательной железы тесно связан с нарушением функции уретры и тяжестью СНМП. Фиброз, возникающий в результате чрезмерного отложения коллагена, традиционно считается прогрессирующим необратимым состоянием и конечной стадией воспалительных заболеваний; однако в исследованиях на животных и людях имеются убедительные доказательства того, что развитие фиброза потенциально может быть обратимым процессом. Воспаление предстательной железы может вызывать фиброзные изменения в периуретральных тканях предстательной железы, способствовать жесткости мочеиспускательного канала и СНМП. Пациенты, испытывающие ХП и связанные с простатой СНМП, могут получить пользу от противовоспалительной терапии, особенно используемой в сочетании с назначенным в настоящее время ферментным лечением Лонгидазой. Результаты лечения показали, что лонгидаза высокоэффективна при бактериальном и абактериальном ХП. Добавление лонгидазы к стандартным терапевтическим методам значительно уменьшило симптомы заболевания и регресс воспалительно-пролиферативных изменений в предстательной железе.</w:t>
      </w:r>
    </w:p>
    <w:p w:rsidR="00697A5B" w:rsidRPr="00FC4A46" w:rsidRDefault="00697A5B" w:rsidP="00FC4A46">
      <w:pPr>
        <w:pStyle w:val="a4"/>
        <w:spacing w:before="0" w:beforeAutospacing="0" w:after="120" w:afterAutospacing="0" w:line="369" w:lineRule="atLeast"/>
        <w:jc w:val="both"/>
        <w:rPr>
          <w:sz w:val="24"/>
          <w:szCs w:val="24"/>
        </w:rPr>
      </w:pPr>
    </w:p>
    <w:p w:rsidR="0038675A" w:rsidRPr="00FC4A46" w:rsidRDefault="0038675A" w:rsidP="00FC4A46">
      <w:pPr>
        <w:pStyle w:val="1"/>
        <w:spacing w:before="120" w:beforeAutospacing="0" w:after="120" w:afterAutospacing="0" w:line="300" w:lineRule="atLeast"/>
        <w:jc w:val="both"/>
        <w:rPr>
          <w:rFonts w:eastAsia="Times New Roman" w:cs="Times New Roman"/>
          <w:color w:val="000000"/>
          <w:sz w:val="24"/>
          <w:szCs w:val="24"/>
        </w:rPr>
      </w:pPr>
      <w:r w:rsidRPr="00FC4A46">
        <w:rPr>
          <w:rFonts w:eastAsia="Times New Roman" w:cs="Times New Roman"/>
          <w:color w:val="000000"/>
          <w:sz w:val="24"/>
          <w:szCs w:val="24"/>
        </w:rPr>
        <w:t>[DIPROSPAN,</w:t>
      </w:r>
      <w:r w:rsidRPr="00FC4A46">
        <w:rPr>
          <w:rStyle w:val="apple-converted-space"/>
          <w:rFonts w:eastAsia="Times New Roman" w:cs="Times New Roman"/>
          <w:color w:val="000000"/>
          <w:sz w:val="24"/>
          <w:szCs w:val="24"/>
        </w:rPr>
        <w:t> </w:t>
      </w:r>
      <w:r w:rsidRPr="00FC4A46">
        <w:rPr>
          <w:rStyle w:val="highlight"/>
          <w:rFonts w:eastAsia="Times New Roman" w:cs="Times New Roman"/>
          <w:color w:val="000000"/>
          <w:sz w:val="24"/>
          <w:szCs w:val="24"/>
        </w:rPr>
        <w:t>LONGIDAZA</w:t>
      </w:r>
      <w:r w:rsidRPr="00FC4A46">
        <w:rPr>
          <w:rStyle w:val="apple-converted-space"/>
          <w:rFonts w:eastAsia="Times New Roman" w:cs="Times New Roman"/>
          <w:color w:val="000000"/>
          <w:sz w:val="24"/>
          <w:szCs w:val="24"/>
        </w:rPr>
        <w:t> </w:t>
      </w:r>
      <w:r w:rsidRPr="00FC4A46">
        <w:rPr>
          <w:rFonts w:eastAsia="Times New Roman" w:cs="Times New Roman"/>
          <w:color w:val="000000"/>
          <w:sz w:val="24"/>
          <w:szCs w:val="24"/>
        </w:rPr>
        <w:t>AND THEIR COMBINED ACTION AGAINST FIBROSIS CAUSED BY MECHANICAL INJURY OF THE INTERVERTEBRAL DISCS IN RATS].</w:t>
      </w:r>
    </w:p>
    <w:p w:rsidR="0038675A" w:rsidRPr="00FC4A46" w:rsidRDefault="0038675A" w:rsidP="00FC4A46">
      <w:pPr>
        <w:jc w:val="both"/>
        <w:rPr>
          <w:rFonts w:ascii="Times New Roman" w:eastAsia="Times New Roman" w:hAnsi="Times New Roman" w:cs="Times New Roman"/>
          <w:color w:val="000000"/>
        </w:rPr>
      </w:pPr>
      <w:hyperlink r:id="rId22" w:history="1">
        <w:r w:rsidRPr="00FC4A46">
          <w:rPr>
            <w:rStyle w:val="a3"/>
            <w:rFonts w:ascii="Times New Roman" w:eastAsia="Times New Roman" w:hAnsi="Times New Roman" w:cs="Times New Roman"/>
            <w:color w:val="660066"/>
          </w:rPr>
          <w:t>Fishchenko IV</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3" w:history="1">
        <w:r w:rsidRPr="00FC4A46">
          <w:rPr>
            <w:rStyle w:val="a3"/>
            <w:rFonts w:ascii="Times New Roman" w:eastAsia="Times New Roman" w:hAnsi="Times New Roman" w:cs="Times New Roman"/>
            <w:color w:val="660066"/>
          </w:rPr>
          <w:t>Zavodovskyi DO</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4" w:history="1">
        <w:r w:rsidRPr="00FC4A46">
          <w:rPr>
            <w:rStyle w:val="a3"/>
            <w:rFonts w:ascii="Times New Roman" w:eastAsia="Times New Roman" w:hAnsi="Times New Roman" w:cs="Times New Roman"/>
            <w:color w:val="660066"/>
          </w:rPr>
          <w:t>Motuzuyk OM</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5" w:history="1">
        <w:r w:rsidRPr="00FC4A46">
          <w:rPr>
            <w:rStyle w:val="a3"/>
            <w:rFonts w:ascii="Times New Roman" w:eastAsia="Times New Roman" w:hAnsi="Times New Roman" w:cs="Times New Roman"/>
            <w:color w:val="660066"/>
          </w:rPr>
          <w:t>Matvienko TY</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6" w:history="1">
        <w:r w:rsidRPr="00FC4A46">
          <w:rPr>
            <w:rStyle w:val="a3"/>
            <w:rFonts w:ascii="Times New Roman" w:eastAsia="Times New Roman" w:hAnsi="Times New Roman" w:cs="Times New Roman"/>
            <w:color w:val="660066"/>
          </w:rPr>
          <w:t>Nozdrenko DN</w:t>
        </w:r>
      </w:hyperlink>
      <w:r w:rsidRPr="00FC4A46">
        <w:rPr>
          <w:rFonts w:ascii="Times New Roman" w:eastAsia="Times New Roman" w:hAnsi="Times New Roman" w:cs="Times New Roman"/>
          <w:color w:val="000000"/>
        </w:rPr>
        <w:t>.</w:t>
      </w:r>
    </w:p>
    <w:p w:rsidR="0038675A" w:rsidRPr="00FC4A46" w:rsidRDefault="0038675A"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The formation of connective tissue changes in the spinal canal of rats, caused by the method of intervertebral disc ruptures, in association with a mixture of epidural injection of</w:t>
      </w:r>
      <w:r w:rsidRPr="00FC4A46">
        <w:rPr>
          <w:rStyle w:val="apple-converted-space"/>
          <w:color w:val="000000"/>
          <w:sz w:val="24"/>
          <w:szCs w:val="24"/>
        </w:rPr>
        <w:t> </w:t>
      </w:r>
      <w:r w:rsidRPr="00FC4A46">
        <w:rPr>
          <w:rStyle w:val="highlight"/>
          <w:color w:val="000000"/>
          <w:sz w:val="24"/>
          <w:szCs w:val="24"/>
        </w:rPr>
        <w:t>longidaza</w:t>
      </w:r>
      <w:r w:rsidRPr="00FC4A46">
        <w:rPr>
          <w:rStyle w:val="apple-converted-space"/>
          <w:color w:val="000000"/>
          <w:sz w:val="24"/>
          <w:szCs w:val="24"/>
        </w:rPr>
        <w:t> </w:t>
      </w:r>
      <w:r w:rsidRPr="00FC4A46">
        <w:rPr>
          <w:color w:val="000000"/>
          <w:sz w:val="24"/>
          <w:szCs w:val="24"/>
        </w:rPr>
        <w:t>and diprospan has been researched. Simultaneous injection of hialuronidase and betamethasone in composition of diprospan and</w:t>
      </w:r>
      <w:r w:rsidRPr="00FC4A46">
        <w:rPr>
          <w:rStyle w:val="apple-converted-space"/>
          <w:color w:val="000000"/>
          <w:sz w:val="24"/>
          <w:szCs w:val="24"/>
        </w:rPr>
        <w:t> </w:t>
      </w:r>
      <w:r w:rsidRPr="00FC4A46">
        <w:rPr>
          <w:rStyle w:val="highlight"/>
          <w:color w:val="000000"/>
          <w:sz w:val="24"/>
          <w:szCs w:val="24"/>
        </w:rPr>
        <w:t>longidaza</w:t>
      </w:r>
      <w:r w:rsidRPr="00FC4A46">
        <w:rPr>
          <w:color w:val="000000"/>
          <w:sz w:val="24"/>
          <w:szCs w:val="24"/>
        </w:rPr>
        <w:t>, revealed a high synergistic effect and anti-fibrotic activity. Combined antifibrosis action of these two drugs is stronger than the sum of the actions of the two drugs in their separate use. Reducion of the maximum thickness of the fibrous layer was 49%, compared with the reference value and reduction of the total area of the fibrous formation was 46%. In our opinion, due to anti-inflammatory effects and the ability to reduce epidural scar adhesion, this complex is promising for its therapeutic use in treatment of spinal epidural fibrosis.</w:t>
      </w:r>
    </w:p>
    <w:p w:rsidR="00C33B69" w:rsidRDefault="00C33B69" w:rsidP="00FC4A46">
      <w:pPr>
        <w:pStyle w:val="a4"/>
        <w:spacing w:before="0" w:beforeAutospacing="0" w:after="120" w:afterAutospacing="0" w:line="369" w:lineRule="atLeast"/>
        <w:jc w:val="both"/>
        <w:rPr>
          <w:color w:val="000000"/>
          <w:sz w:val="24"/>
          <w:szCs w:val="24"/>
        </w:rPr>
      </w:pPr>
    </w:p>
    <w:p w:rsidR="0038675A" w:rsidRPr="00C33B69" w:rsidRDefault="0038675A" w:rsidP="00FC4A46">
      <w:pPr>
        <w:pStyle w:val="a4"/>
        <w:spacing w:before="0" w:beforeAutospacing="0" w:after="120" w:afterAutospacing="0" w:line="369" w:lineRule="atLeast"/>
        <w:jc w:val="both"/>
        <w:rPr>
          <w:b/>
          <w:color w:val="000000"/>
          <w:sz w:val="24"/>
          <w:szCs w:val="24"/>
        </w:rPr>
      </w:pPr>
      <w:r w:rsidRPr="00C33B69">
        <w:rPr>
          <w:b/>
          <w:color w:val="000000"/>
          <w:sz w:val="24"/>
          <w:szCs w:val="24"/>
        </w:rPr>
        <w:t xml:space="preserve">Гугл Перевод </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[ДИПРОСПАН, ЛОНГИДАЗА И ИХ КОМБИНИРОВАННЫЕ ДЕЙСТВИЯ ПРОТИВ ФИБРОЗА, ВЫЗВАННОГО МЕХАНИЧЕСКИМ ПОВРЕЖДЕНИЕМ МЕЖВЕРТЕБРАЛЬНЫХ ДИСКОВ У КРЫС].</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Фищенко И.В., Заводовский Д.О., Мотузуйк О.М., Матвиенко Т.Ю., Ноздренко Д.Н.</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Исследовано формирование изменений соединительной ткани в позвоночном канале крыс, вызванных методом разрывов межпозвонкового диска, в сочетании со смесью эпидуральной инъекции лонгидазы и дипроспана. Одновременное введение гиалуронидазы и бетаметазона в составе дипроспана и лонгидазы выявило высокий синергетический эффект и антифиброзную активность. Комбинированное антифиброзное действие этих двух препаратов сильнее, чем сумма действий двух препаратов при их раздельном применении. Уменьшение максимальной толщины волокнистого слоя составило 49%, по сравнению с эталонным значением и уменьшение общей площади волокнистого образования составило 46%. По нашему мнению, благодаря противовоспалительным эффектам и способности снижать адгезию эпидурального рубца, этот комплекс является перспективным для его терапевтического применения при лечении эпидурального фиброза позвоночника.</w:t>
      </w:r>
    </w:p>
    <w:p w:rsidR="0038675A" w:rsidRPr="00FC4A46" w:rsidRDefault="0038675A" w:rsidP="00FC4A46">
      <w:pPr>
        <w:pStyle w:val="a4"/>
        <w:spacing w:before="0" w:beforeAutospacing="0" w:after="120" w:afterAutospacing="0" w:line="369" w:lineRule="atLeast"/>
        <w:jc w:val="both"/>
        <w:rPr>
          <w:color w:val="000000"/>
          <w:sz w:val="24"/>
          <w:szCs w:val="24"/>
        </w:rPr>
      </w:pPr>
    </w:p>
    <w:p w:rsidR="0038675A" w:rsidRPr="00FC4A46" w:rsidRDefault="0038675A" w:rsidP="00FC4A46">
      <w:pPr>
        <w:pStyle w:val="1"/>
        <w:spacing w:before="120" w:beforeAutospacing="0" w:after="120" w:afterAutospacing="0" w:line="300" w:lineRule="atLeast"/>
        <w:jc w:val="both"/>
        <w:rPr>
          <w:rFonts w:eastAsia="Times New Roman" w:cs="Times New Roman"/>
          <w:color w:val="000000"/>
          <w:sz w:val="24"/>
          <w:szCs w:val="24"/>
        </w:rPr>
      </w:pPr>
      <w:r w:rsidRPr="00FC4A46">
        <w:rPr>
          <w:rFonts w:eastAsia="Times New Roman" w:cs="Times New Roman"/>
          <w:color w:val="000000"/>
          <w:sz w:val="24"/>
          <w:szCs w:val="24"/>
        </w:rPr>
        <w:t>[EFFECT OF LONGIDAZE ON MICROBIAL LANDSCAPE OF CERVICAL CANAL AND UTERINE CAVITY DURING THERAPY OF WOMEN WITH CHRONIC NONSPECIFIC ENDOMETRITIS AND UTERUS MYOMA].</w:t>
      </w:r>
    </w:p>
    <w:p w:rsidR="0038675A" w:rsidRPr="00FC4A46" w:rsidRDefault="0038675A" w:rsidP="00FC4A46">
      <w:pPr>
        <w:jc w:val="both"/>
        <w:rPr>
          <w:rFonts w:ascii="Times New Roman" w:eastAsia="Times New Roman" w:hAnsi="Times New Roman" w:cs="Times New Roman"/>
          <w:color w:val="000000"/>
        </w:rPr>
      </w:pPr>
      <w:hyperlink r:id="rId27" w:history="1">
        <w:r w:rsidRPr="00FC4A46">
          <w:rPr>
            <w:rStyle w:val="a3"/>
            <w:rFonts w:ascii="Times New Roman" w:eastAsia="Times New Roman" w:hAnsi="Times New Roman" w:cs="Times New Roman"/>
            <w:color w:val="660066"/>
          </w:rPr>
          <w:t>Troshina NA</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8" w:history="1">
        <w:r w:rsidRPr="00FC4A46">
          <w:rPr>
            <w:rStyle w:val="a3"/>
            <w:rFonts w:ascii="Times New Roman" w:eastAsia="Times New Roman" w:hAnsi="Times New Roman" w:cs="Times New Roman"/>
            <w:color w:val="660066"/>
          </w:rPr>
          <w:t>Dolgushin II</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29" w:history="1">
        <w:r w:rsidRPr="00FC4A46">
          <w:rPr>
            <w:rStyle w:val="a3"/>
            <w:rFonts w:ascii="Times New Roman" w:eastAsia="Times New Roman" w:hAnsi="Times New Roman" w:cs="Times New Roman"/>
            <w:color w:val="660066"/>
          </w:rPr>
          <w:t>Dolgushina VF</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0" w:history="1">
        <w:r w:rsidRPr="00FC4A46">
          <w:rPr>
            <w:rStyle w:val="a3"/>
            <w:rFonts w:ascii="Times New Roman" w:eastAsia="Times New Roman" w:hAnsi="Times New Roman" w:cs="Times New Roman"/>
            <w:color w:val="660066"/>
          </w:rPr>
          <w:t>Bakhareva LI</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1" w:history="1">
        <w:r w:rsidRPr="00FC4A46">
          <w:rPr>
            <w:rStyle w:val="a3"/>
            <w:rFonts w:ascii="Times New Roman" w:eastAsia="Times New Roman" w:hAnsi="Times New Roman" w:cs="Times New Roman"/>
            <w:color w:val="660066"/>
          </w:rPr>
          <w:t>Kurnosenko IV</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2" w:history="1">
        <w:r w:rsidRPr="00FC4A46">
          <w:rPr>
            <w:rStyle w:val="a3"/>
            <w:rFonts w:ascii="Times New Roman" w:eastAsia="Times New Roman" w:hAnsi="Times New Roman" w:cs="Times New Roman"/>
            <w:color w:val="660066"/>
          </w:rPr>
          <w:t>Nadvikova TV</w:t>
        </w:r>
      </w:hyperlink>
      <w:r w:rsidRPr="00FC4A46">
        <w:rPr>
          <w:rFonts w:ascii="Times New Roman" w:eastAsia="Times New Roman" w:hAnsi="Times New Roman" w:cs="Times New Roman"/>
          <w:color w:val="000000"/>
        </w:rPr>
        <w:t>.</w:t>
      </w:r>
    </w:p>
    <w:p w:rsidR="0038675A" w:rsidRPr="00FC4A46" w:rsidRDefault="0038675A"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38675A" w:rsidRPr="00FC4A46" w:rsidRDefault="0038675A"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AIM:</w:t>
      </w:r>
      <w:r w:rsidRPr="00FC4A46">
        <w:rPr>
          <w:rStyle w:val="apple-converted-space"/>
          <w:rFonts w:ascii="Times New Roman" w:eastAsia="Times New Roman" w:hAnsi="Times New Roman" w:cs="Times New Roman"/>
          <w:caps/>
          <w:color w:val="000000"/>
        </w:rPr>
        <w:t> </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Evaluation of microbiological effectiveness of longidaze preparation use during therapy of active non-specific endometritis in women with uterus myoma.</w:t>
      </w:r>
    </w:p>
    <w:p w:rsidR="0038675A" w:rsidRPr="00FC4A46" w:rsidRDefault="0038675A"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MATERIALS AND METHODS:</w:t>
      </w:r>
      <w:r w:rsidRPr="00FC4A46">
        <w:rPr>
          <w:rStyle w:val="apple-converted-space"/>
          <w:rFonts w:ascii="Times New Roman" w:eastAsia="Times New Roman" w:hAnsi="Times New Roman" w:cs="Times New Roman"/>
          <w:caps/>
          <w:color w:val="000000"/>
        </w:rPr>
        <w:t> </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2 groups of women were formed by a method of random selection. The first was composed of patients with active chronic endometritis, that had received standard etiotropic antibacterial therapy. The second included patients, that had received longidaze in addition to the standard therapy. Therapy effectiveness evaluation was carried out based on the analysis of microbial landscape of cervical canal and uterine cavity 2 months after the therapy during phase I of the menstrual cycle.</w:t>
      </w:r>
    </w:p>
    <w:p w:rsidR="0038675A" w:rsidRPr="00FC4A46" w:rsidRDefault="0038675A"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RESULTS:</w:t>
      </w:r>
      <w:r w:rsidRPr="00FC4A46">
        <w:rPr>
          <w:rStyle w:val="apple-converted-space"/>
          <w:rFonts w:ascii="Times New Roman" w:eastAsia="Times New Roman" w:hAnsi="Times New Roman" w:cs="Times New Roman"/>
          <w:caps/>
          <w:color w:val="000000"/>
        </w:rPr>
        <w:t> </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Non-plasma-coagulating staphylococci, enterococci and anaerobes were established to be present predominately in the examined women of both the first and the second group.</w:t>
      </w:r>
    </w:p>
    <w:p w:rsidR="0038675A" w:rsidRPr="00FC4A46" w:rsidRDefault="0038675A" w:rsidP="00FC4A46">
      <w:pPr>
        <w:pStyle w:val="4"/>
        <w:spacing w:before="0" w:line="369" w:lineRule="atLeast"/>
        <w:ind w:right="60"/>
        <w:jc w:val="both"/>
        <w:rPr>
          <w:rFonts w:ascii="Times New Roman" w:eastAsia="Times New Roman" w:hAnsi="Times New Roman" w:cs="Times New Roman"/>
          <w:caps/>
          <w:color w:val="000000"/>
        </w:rPr>
      </w:pPr>
      <w:r w:rsidRPr="00FC4A46">
        <w:rPr>
          <w:rFonts w:ascii="Times New Roman" w:eastAsia="Times New Roman" w:hAnsi="Times New Roman" w:cs="Times New Roman"/>
          <w:caps/>
          <w:color w:val="000000"/>
        </w:rPr>
        <w:t>CONCLUSION:</w:t>
      </w:r>
      <w:r w:rsidRPr="00FC4A46">
        <w:rPr>
          <w:rStyle w:val="apple-converted-space"/>
          <w:rFonts w:ascii="Times New Roman" w:eastAsia="Times New Roman" w:hAnsi="Times New Roman" w:cs="Times New Roman"/>
          <w:caps/>
          <w:color w:val="000000"/>
        </w:rPr>
        <w:t> </w:t>
      </w:r>
    </w:p>
    <w:p w:rsidR="0038675A" w:rsidRPr="00FC4A46" w:rsidRDefault="0038675A" w:rsidP="00FC4A46">
      <w:pPr>
        <w:pStyle w:val="a4"/>
        <w:spacing w:before="0" w:beforeAutospacing="0" w:after="120" w:afterAutospacing="0" w:line="369" w:lineRule="atLeast"/>
        <w:jc w:val="both"/>
        <w:rPr>
          <w:color w:val="000000"/>
          <w:sz w:val="24"/>
          <w:szCs w:val="24"/>
        </w:rPr>
      </w:pPr>
      <w:r w:rsidRPr="00FC4A46">
        <w:rPr>
          <w:color w:val="000000"/>
          <w:sz w:val="24"/>
          <w:szCs w:val="24"/>
        </w:rPr>
        <w:t>The application of longidaze in combination with antibacterial therapy results in the most significant improvement of microbial landscape of cervical canal and uterine cavity.</w:t>
      </w:r>
    </w:p>
    <w:p w:rsidR="0038675A" w:rsidRPr="00FC4A46" w:rsidRDefault="0038675A" w:rsidP="00FC4A46">
      <w:pPr>
        <w:pStyle w:val="a4"/>
        <w:spacing w:before="0" w:beforeAutospacing="0" w:after="120" w:afterAutospacing="0" w:line="369" w:lineRule="atLeast"/>
        <w:jc w:val="both"/>
        <w:rPr>
          <w:color w:val="000000"/>
          <w:sz w:val="24"/>
          <w:szCs w:val="24"/>
        </w:rPr>
      </w:pPr>
    </w:p>
    <w:p w:rsidR="0038675A" w:rsidRPr="00C33B69" w:rsidRDefault="0038675A" w:rsidP="00FC4A46">
      <w:pPr>
        <w:pStyle w:val="a4"/>
        <w:spacing w:before="0" w:beforeAutospacing="0" w:after="120" w:afterAutospacing="0" w:line="369" w:lineRule="atLeast"/>
        <w:jc w:val="both"/>
        <w:rPr>
          <w:b/>
          <w:color w:val="000000"/>
          <w:sz w:val="24"/>
          <w:szCs w:val="24"/>
        </w:rPr>
      </w:pPr>
      <w:r w:rsidRPr="00C33B69">
        <w:rPr>
          <w:b/>
          <w:color w:val="000000"/>
          <w:sz w:val="24"/>
          <w:szCs w:val="24"/>
        </w:rPr>
        <w:t xml:space="preserve">Гугл Перевод </w:t>
      </w:r>
    </w:p>
    <w:p w:rsidR="00C33B69" w:rsidRDefault="0038675A" w:rsidP="00FC4A46">
      <w:pPr>
        <w:pStyle w:val="a4"/>
        <w:spacing w:after="120" w:line="369" w:lineRule="atLeast"/>
        <w:jc w:val="both"/>
        <w:rPr>
          <w:color w:val="000000"/>
          <w:sz w:val="24"/>
          <w:szCs w:val="24"/>
        </w:rPr>
      </w:pPr>
      <w:r w:rsidRPr="00FC4A46">
        <w:rPr>
          <w:color w:val="000000"/>
          <w:sz w:val="24"/>
          <w:szCs w:val="24"/>
        </w:rPr>
        <w:t>ВЛИЯНИЕ LONGIDAZE НА МИКРОБНЫЙ ЛАНДШАФТ ШЕЙНОГО КАНАЛА И ПОЧКИ МАТКИ ПРИ ТЕРАПИИ ЖЕНЩИН С ХРОНИЧЕСКИМ НЕСПЕЦИФИЧЕСКИМ ЭНДОМЕТРИТОМ И МИОМОЙ МАТКИ.</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Трошина Н.А., Долгушин И.И., Долгушина В.Ф., Бахарева Л.И., Курносенко И.В., Надвикова Т.В.</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AIM:</w:t>
      </w:r>
      <w:r w:rsidR="00C33B69">
        <w:rPr>
          <w:color w:val="000000"/>
          <w:sz w:val="24"/>
          <w:szCs w:val="24"/>
        </w:rPr>
        <w:t xml:space="preserve"> </w:t>
      </w:r>
      <w:r w:rsidRPr="00FC4A46">
        <w:rPr>
          <w:color w:val="000000"/>
          <w:sz w:val="24"/>
          <w:szCs w:val="24"/>
        </w:rPr>
        <w:t>Оценка микробиологической эффективности применения препарата лонгидаз при терапии активного неспецифического эндометрита у женщин с миомой матки.</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МАТЕРИАЛЫ И МЕТОДЫ:</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2 группы женщин были сформированы методом случайного отбора. Первая состояла из пациентов с активным хроническим эндометритом, которые получали стандартную этиотропную антибактериальную терапию. Второй включал пациентов, которые получали лонгидаз в дополнение к стандартной терапии. Оценка эффективности терапии проводилась на основе анализа микробного ландшафта канала шейки матки и полости матки через 2 месяца после терапии в I фазе менструального цикла.</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РЕЗУЛЬТАТЫ:</w:t>
      </w:r>
    </w:p>
    <w:p w:rsidR="0038675A" w:rsidRPr="00FC4A46" w:rsidRDefault="0038675A" w:rsidP="00FC4A46">
      <w:pPr>
        <w:pStyle w:val="a4"/>
        <w:spacing w:after="120" w:line="369" w:lineRule="atLeast"/>
        <w:jc w:val="both"/>
        <w:rPr>
          <w:color w:val="000000"/>
          <w:sz w:val="24"/>
          <w:szCs w:val="24"/>
        </w:rPr>
      </w:pPr>
      <w:r w:rsidRPr="00FC4A46">
        <w:rPr>
          <w:color w:val="000000"/>
          <w:sz w:val="24"/>
          <w:szCs w:val="24"/>
        </w:rPr>
        <w:t>Установлено, что не плазменно-коагулирующие стафилококки, энтерококки и анаэробы присутствуют преимущественно у обследованных женщин как первой, так и второй группы.</w:t>
      </w:r>
    </w:p>
    <w:p w:rsidR="0038675A" w:rsidRDefault="0038675A" w:rsidP="00C33B69">
      <w:pPr>
        <w:pStyle w:val="a4"/>
        <w:spacing w:after="120" w:line="369" w:lineRule="atLeast"/>
        <w:jc w:val="both"/>
        <w:rPr>
          <w:color w:val="000000"/>
          <w:sz w:val="24"/>
          <w:szCs w:val="24"/>
        </w:rPr>
      </w:pPr>
      <w:r w:rsidRPr="00FC4A46">
        <w:rPr>
          <w:color w:val="000000"/>
          <w:sz w:val="24"/>
          <w:szCs w:val="24"/>
        </w:rPr>
        <w:t>ВЫВОД:</w:t>
      </w:r>
      <w:r w:rsidR="00C33B69">
        <w:rPr>
          <w:color w:val="000000"/>
          <w:sz w:val="24"/>
          <w:szCs w:val="24"/>
        </w:rPr>
        <w:t xml:space="preserve"> </w:t>
      </w:r>
      <w:r w:rsidRPr="00FC4A46">
        <w:rPr>
          <w:color w:val="000000"/>
          <w:sz w:val="24"/>
          <w:szCs w:val="24"/>
        </w:rPr>
        <w:t>Применение лонгидаза в сочетании с антибактериальной терапией приводит к наиболее значительному улучшению микробного ландшафта канала шейки матки и полости матки.</w:t>
      </w:r>
    </w:p>
    <w:p w:rsidR="00C33B69" w:rsidRPr="00FC4A46" w:rsidRDefault="00C33B69" w:rsidP="00C33B69">
      <w:pPr>
        <w:pStyle w:val="a4"/>
        <w:spacing w:after="120" w:line="369" w:lineRule="atLeast"/>
        <w:jc w:val="both"/>
        <w:rPr>
          <w:color w:val="000000"/>
          <w:sz w:val="24"/>
          <w:szCs w:val="24"/>
        </w:rPr>
      </w:pPr>
    </w:p>
    <w:p w:rsidR="00FC4A46" w:rsidRPr="00C33B69" w:rsidRDefault="00FC4A46" w:rsidP="00FC4A46">
      <w:pPr>
        <w:pStyle w:val="1"/>
        <w:spacing w:before="120" w:beforeAutospacing="0" w:after="120" w:afterAutospacing="0" w:line="300" w:lineRule="atLeast"/>
        <w:jc w:val="both"/>
        <w:rPr>
          <w:rFonts w:eastAsia="Times New Roman" w:cs="Times New Roman"/>
          <w:color w:val="000000"/>
          <w:sz w:val="28"/>
          <w:szCs w:val="24"/>
        </w:rPr>
      </w:pPr>
      <w:r w:rsidRPr="00C33B69">
        <w:rPr>
          <w:rFonts w:eastAsia="Times New Roman" w:cs="Times New Roman"/>
          <w:color w:val="000000"/>
          <w:sz w:val="28"/>
          <w:szCs w:val="24"/>
        </w:rPr>
        <w:t>[Experience in the treatment of autoimmune male infertility in patients with category 4 chronic prostatitis].</w:t>
      </w:r>
    </w:p>
    <w:p w:rsidR="00FC4A46" w:rsidRPr="00FC4A46" w:rsidRDefault="00FC4A46" w:rsidP="00FC4A46">
      <w:pPr>
        <w:jc w:val="both"/>
        <w:rPr>
          <w:rFonts w:ascii="Times New Roman" w:eastAsia="Times New Roman" w:hAnsi="Times New Roman" w:cs="Times New Roman"/>
          <w:color w:val="000000"/>
        </w:rPr>
      </w:pPr>
      <w:hyperlink r:id="rId33" w:history="1">
        <w:r w:rsidRPr="00FC4A46">
          <w:rPr>
            <w:rStyle w:val="a3"/>
            <w:rFonts w:ascii="Times New Roman" w:eastAsia="Times New Roman" w:hAnsi="Times New Roman" w:cs="Times New Roman"/>
            <w:color w:val="660066"/>
          </w:rPr>
          <w:t>Pochernikov DG</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4" w:history="1">
        <w:r w:rsidRPr="00FC4A46">
          <w:rPr>
            <w:rStyle w:val="a3"/>
            <w:rFonts w:ascii="Times New Roman" w:eastAsia="Times New Roman" w:hAnsi="Times New Roman" w:cs="Times New Roman"/>
            <w:color w:val="660066"/>
          </w:rPr>
          <w:t>Vinokurov EIu</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5" w:history="1">
        <w:r w:rsidRPr="00FC4A46">
          <w:rPr>
            <w:rStyle w:val="a3"/>
            <w:rFonts w:ascii="Times New Roman" w:eastAsia="Times New Roman" w:hAnsi="Times New Roman" w:cs="Times New Roman"/>
            <w:color w:val="660066"/>
          </w:rPr>
          <w:t>Strel'nikov AI</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6" w:history="1">
        <w:r w:rsidRPr="00FC4A46">
          <w:rPr>
            <w:rStyle w:val="a3"/>
            <w:rFonts w:ascii="Times New Roman" w:eastAsia="Times New Roman" w:hAnsi="Times New Roman" w:cs="Times New Roman"/>
            <w:color w:val="660066"/>
          </w:rPr>
          <w:t>Iakovleva LV</w:t>
        </w:r>
      </w:hyperlink>
      <w:r w:rsidRPr="00FC4A46">
        <w:rPr>
          <w:rFonts w:ascii="Times New Roman" w:eastAsia="Times New Roman" w:hAnsi="Times New Roman" w:cs="Times New Roman"/>
          <w:color w:val="000000"/>
        </w:rPr>
        <w:t>.</w:t>
      </w:r>
    </w:p>
    <w:p w:rsidR="00FC4A46" w:rsidRPr="00FC4A46" w:rsidRDefault="00FC4A46"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FC4A46" w:rsidRDefault="00FC4A46" w:rsidP="00FC4A46">
      <w:pPr>
        <w:pStyle w:val="a4"/>
        <w:spacing w:before="0" w:beforeAutospacing="0" w:after="120" w:afterAutospacing="0" w:line="369" w:lineRule="atLeast"/>
        <w:jc w:val="both"/>
        <w:rPr>
          <w:color w:val="000000"/>
          <w:sz w:val="24"/>
          <w:szCs w:val="24"/>
        </w:rPr>
      </w:pPr>
      <w:r w:rsidRPr="00FC4A46">
        <w:rPr>
          <w:color w:val="000000"/>
          <w:sz w:val="24"/>
          <w:szCs w:val="24"/>
        </w:rPr>
        <w:t>Administration of</w:t>
      </w:r>
      <w:r w:rsidRPr="00FC4A46">
        <w:rPr>
          <w:rStyle w:val="apple-converted-space"/>
          <w:color w:val="000000"/>
          <w:sz w:val="24"/>
          <w:szCs w:val="24"/>
        </w:rPr>
        <w:t> </w:t>
      </w:r>
      <w:r w:rsidRPr="00FC4A46">
        <w:rPr>
          <w:rStyle w:val="highlight"/>
          <w:color w:val="000000"/>
          <w:sz w:val="24"/>
          <w:szCs w:val="24"/>
        </w:rPr>
        <w:t>longidaza</w:t>
      </w:r>
      <w:r w:rsidRPr="00FC4A46">
        <w:rPr>
          <w:rStyle w:val="apple-converted-space"/>
          <w:color w:val="000000"/>
          <w:sz w:val="24"/>
          <w:szCs w:val="24"/>
        </w:rPr>
        <w:t> </w:t>
      </w:r>
      <w:r w:rsidRPr="00FC4A46">
        <w:rPr>
          <w:color w:val="000000"/>
          <w:sz w:val="24"/>
          <w:szCs w:val="24"/>
        </w:rPr>
        <w:t>at a dose of 3000 IU intramuscularly twice a week after 1 month of treatment leads to the statistically significant reduction of antisperm antibodies (ASAB) at the surface of sperm cells to 23% (7-48%) for MARIgG and to 14.5% (3-34%) for MARIgA. Maximum reduction of ASAB, however, was observed after third month of treatment, mean MARIgG was 2% (1-26,5%) and MARIgA - 1% (0-11.5%). ASAB level has not reduced less than 50% only in one patient (1.67%). At follow-up three months after the cancellation of</w:t>
      </w:r>
      <w:r w:rsidRPr="00FC4A46">
        <w:rPr>
          <w:rStyle w:val="apple-converted-space"/>
          <w:color w:val="000000"/>
          <w:sz w:val="24"/>
          <w:szCs w:val="24"/>
        </w:rPr>
        <w:t> </w:t>
      </w:r>
      <w:r w:rsidRPr="00FC4A46">
        <w:rPr>
          <w:rStyle w:val="highlight"/>
          <w:color w:val="000000"/>
          <w:sz w:val="24"/>
          <w:szCs w:val="24"/>
        </w:rPr>
        <w:t>Longidaza</w:t>
      </w:r>
      <w:r w:rsidRPr="00FC4A46">
        <w:rPr>
          <w:color w:val="000000"/>
          <w:sz w:val="24"/>
          <w:szCs w:val="24"/>
        </w:rPr>
        <w:t>, only 17 (28.33%) men showed an increase of ASAB IgG and (or) IgA more than 50%. Inthe study group, during the observation, spontaneous pregnancy occurred in 6 (10%) pairs, and IVF was successfully performed in 3 (5%) pairs. Thus, we consider it necessary to appoint</w:t>
      </w:r>
      <w:r w:rsidRPr="00FC4A46">
        <w:rPr>
          <w:rStyle w:val="apple-converted-space"/>
          <w:color w:val="000000"/>
          <w:sz w:val="24"/>
          <w:szCs w:val="24"/>
        </w:rPr>
        <w:t> </w:t>
      </w:r>
      <w:r w:rsidRPr="00FC4A46">
        <w:rPr>
          <w:rStyle w:val="highlight"/>
          <w:color w:val="000000"/>
          <w:sz w:val="24"/>
          <w:szCs w:val="24"/>
        </w:rPr>
        <w:t>Longidaza</w:t>
      </w:r>
      <w:r w:rsidRPr="00FC4A46">
        <w:rPr>
          <w:rStyle w:val="apple-converted-space"/>
          <w:color w:val="000000"/>
          <w:sz w:val="24"/>
          <w:szCs w:val="24"/>
        </w:rPr>
        <w:t> </w:t>
      </w:r>
      <w:r w:rsidRPr="00FC4A46">
        <w:rPr>
          <w:color w:val="000000"/>
          <w:sz w:val="24"/>
          <w:szCs w:val="24"/>
        </w:rPr>
        <w:t>in patients with category 4 chronic prostatitis and elevated levels of antisperm antibodies on sperm cells, who preparing for assisted reproductive technologies, or preparing for natural pregnancy, as a high-effective pathogenetical agent for the treatment of autoimmune infertility.</w:t>
      </w:r>
    </w:p>
    <w:p w:rsidR="00C33B69" w:rsidRPr="00FC4A46" w:rsidRDefault="00C33B69" w:rsidP="00FC4A46">
      <w:pPr>
        <w:pStyle w:val="a4"/>
        <w:spacing w:before="0" w:beforeAutospacing="0" w:after="120" w:afterAutospacing="0" w:line="369" w:lineRule="atLeast"/>
        <w:jc w:val="both"/>
        <w:rPr>
          <w:color w:val="000000"/>
          <w:sz w:val="24"/>
          <w:szCs w:val="24"/>
        </w:rPr>
      </w:pPr>
    </w:p>
    <w:p w:rsidR="00FC4A46" w:rsidRPr="00C33B69" w:rsidRDefault="00FC4A46" w:rsidP="00FC4A46">
      <w:pPr>
        <w:pStyle w:val="a4"/>
        <w:spacing w:before="0" w:beforeAutospacing="0" w:after="120" w:afterAutospacing="0" w:line="369" w:lineRule="atLeast"/>
        <w:jc w:val="both"/>
        <w:rPr>
          <w:b/>
          <w:color w:val="000000"/>
          <w:sz w:val="24"/>
          <w:szCs w:val="24"/>
        </w:rPr>
      </w:pPr>
      <w:r w:rsidRPr="00C33B69">
        <w:rPr>
          <w:b/>
          <w:color w:val="000000"/>
          <w:sz w:val="24"/>
          <w:szCs w:val="24"/>
        </w:rPr>
        <w:t xml:space="preserve">Гугл Перевод </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Опыт лечения аутоиммунного мужского бесплодия у пациентов с хроническим простатитом 4 категории.</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Почерников Д.Г., Винокуров Е.И., Стрельников А.И., Яковлева Л.В.</w:t>
      </w:r>
    </w:p>
    <w:p w:rsidR="00FC4A46" w:rsidRPr="00FC4A46" w:rsidRDefault="00FC4A46" w:rsidP="00FC4A46">
      <w:pPr>
        <w:pStyle w:val="a4"/>
        <w:spacing w:before="0" w:beforeAutospacing="0" w:after="120" w:afterAutospacing="0" w:line="369" w:lineRule="atLeast"/>
        <w:jc w:val="both"/>
        <w:rPr>
          <w:color w:val="000000"/>
          <w:sz w:val="24"/>
          <w:szCs w:val="24"/>
        </w:rPr>
      </w:pPr>
      <w:r w:rsidRPr="00FC4A46">
        <w:rPr>
          <w:color w:val="000000"/>
          <w:sz w:val="24"/>
          <w:szCs w:val="24"/>
        </w:rPr>
        <w:t>Введение лонгидазы в дозе 3000 МЕ внутримышечно два раза в неделю через 1 месяц лечения приводит к статистически значимому снижению антиспермальных антител (ASAB) на поверхности сперматозоидов до 23% (7-48%) для MARIgG и до 14,5 % (3-34%) для MARIgA. Максимальное снижение ASAB, однако, наблюдалось после третьего месяца лечения, среднее значение MARIgG составляло 2% (1-26,5%), а MARIgA - 1% (0-11,5%). Уровень ASAB снизился не менее чем на 50% только у одного пациента (1,67%). Через три месяца после отмены Лонгидазы только у 17 (28,33%) мужчин наблюдалось увеличение ASAB IgG и (или) IgA более чем на 50%. В основной группе во время наблюдения спонтанная беременность произошла в 6 (10%) парах, а ЭКО была успешно выполнена в 3 (5%) парах. Таким образом, мы считаем необходимым назначать Лонгидазу пациентам с хроническим простатитом 4-й категории и повышенным уровнем антиспермальных антител на сперматозоиды, которые готовятся к вспомогательным репродуктивным технологиям или готовятся к естественной беременности, в качестве высокоэффективного патогенетического агента для лечения аутоиммунное бесплодие.</w:t>
      </w:r>
    </w:p>
    <w:p w:rsidR="00C33B69" w:rsidRDefault="00C33B69" w:rsidP="00FC4A46">
      <w:pPr>
        <w:pStyle w:val="1"/>
        <w:spacing w:before="120" w:beforeAutospacing="0" w:after="120" w:afterAutospacing="0" w:line="300" w:lineRule="atLeast"/>
        <w:jc w:val="both"/>
        <w:rPr>
          <w:rFonts w:eastAsia="Times New Roman" w:cs="Times New Roman"/>
          <w:color w:val="000000"/>
          <w:sz w:val="24"/>
          <w:szCs w:val="24"/>
        </w:rPr>
      </w:pPr>
    </w:p>
    <w:p w:rsidR="00FC4A46" w:rsidRPr="00C33B69" w:rsidRDefault="00FC4A46" w:rsidP="00FC4A46">
      <w:pPr>
        <w:pStyle w:val="1"/>
        <w:spacing w:before="120" w:beforeAutospacing="0" w:after="120" w:afterAutospacing="0" w:line="300" w:lineRule="atLeast"/>
        <w:jc w:val="both"/>
        <w:rPr>
          <w:rFonts w:eastAsia="Times New Roman" w:cs="Times New Roman"/>
          <w:color w:val="000000"/>
          <w:sz w:val="28"/>
          <w:szCs w:val="24"/>
        </w:rPr>
      </w:pPr>
      <w:r w:rsidRPr="00C33B69">
        <w:rPr>
          <w:rFonts w:eastAsia="Times New Roman" w:cs="Times New Roman"/>
          <w:color w:val="000000"/>
          <w:sz w:val="28"/>
          <w:szCs w:val="24"/>
        </w:rPr>
        <w:t>[Rehabilitation of patients with urolithiasis after minimally invasive procedures on the kidneys].</w:t>
      </w:r>
    </w:p>
    <w:p w:rsidR="00FC4A46" w:rsidRPr="00FC4A46" w:rsidRDefault="00FC4A46" w:rsidP="00FC4A46">
      <w:pPr>
        <w:jc w:val="both"/>
        <w:rPr>
          <w:rFonts w:ascii="Times New Roman" w:eastAsia="Times New Roman" w:hAnsi="Times New Roman" w:cs="Times New Roman"/>
          <w:color w:val="000000"/>
        </w:rPr>
      </w:pPr>
      <w:hyperlink r:id="rId37" w:history="1">
        <w:r w:rsidRPr="00FC4A46">
          <w:rPr>
            <w:rStyle w:val="a3"/>
            <w:rFonts w:ascii="Times New Roman" w:eastAsia="Times New Roman" w:hAnsi="Times New Roman" w:cs="Times New Roman"/>
            <w:color w:val="660066"/>
          </w:rPr>
          <w:t>Avdoshin VP</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8" w:history="1">
        <w:r w:rsidRPr="00FC4A46">
          <w:rPr>
            <w:rStyle w:val="a3"/>
            <w:rFonts w:ascii="Times New Roman" w:eastAsia="Times New Roman" w:hAnsi="Times New Roman" w:cs="Times New Roman"/>
            <w:color w:val="660066"/>
          </w:rPr>
          <w:t>Andriukhin MI</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39" w:history="1">
        <w:r w:rsidRPr="00FC4A46">
          <w:rPr>
            <w:rStyle w:val="a3"/>
            <w:rFonts w:ascii="Times New Roman" w:eastAsia="Times New Roman" w:hAnsi="Times New Roman" w:cs="Times New Roman"/>
            <w:color w:val="660066"/>
          </w:rPr>
          <w:t>Kiriukhina TA</w:t>
        </w:r>
      </w:hyperlink>
      <w:r w:rsidRPr="00FC4A46">
        <w:rPr>
          <w:rFonts w:ascii="Times New Roman" w:eastAsia="Times New Roman" w:hAnsi="Times New Roman" w:cs="Times New Roman"/>
          <w:color w:val="000000"/>
        </w:rPr>
        <w:t>,</w:t>
      </w:r>
      <w:r w:rsidRPr="00FC4A46">
        <w:rPr>
          <w:rStyle w:val="apple-converted-space"/>
          <w:rFonts w:ascii="Times New Roman" w:eastAsia="Times New Roman" w:hAnsi="Times New Roman" w:cs="Times New Roman"/>
          <w:color w:val="000000"/>
        </w:rPr>
        <w:t> </w:t>
      </w:r>
      <w:hyperlink r:id="rId40" w:history="1">
        <w:r w:rsidRPr="00FC4A46">
          <w:rPr>
            <w:rStyle w:val="a3"/>
            <w:rFonts w:ascii="Times New Roman" w:eastAsia="Times New Roman" w:hAnsi="Times New Roman" w:cs="Times New Roman"/>
            <w:color w:val="660066"/>
          </w:rPr>
          <w:t>Zaĭtseva IV</w:t>
        </w:r>
      </w:hyperlink>
      <w:r w:rsidRPr="00FC4A46">
        <w:rPr>
          <w:rFonts w:ascii="Times New Roman" w:eastAsia="Times New Roman" w:hAnsi="Times New Roman" w:cs="Times New Roman"/>
          <w:color w:val="000000"/>
        </w:rPr>
        <w:t>.</w:t>
      </w:r>
    </w:p>
    <w:p w:rsidR="00FC4A46" w:rsidRPr="00FC4A46" w:rsidRDefault="00FC4A46"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FC4A46" w:rsidRDefault="00FC4A46" w:rsidP="00FC4A46">
      <w:pPr>
        <w:pStyle w:val="a4"/>
        <w:spacing w:before="0" w:beforeAutospacing="0" w:after="120" w:afterAutospacing="0" w:line="369" w:lineRule="atLeast"/>
        <w:jc w:val="both"/>
        <w:rPr>
          <w:color w:val="000000"/>
          <w:sz w:val="24"/>
          <w:szCs w:val="24"/>
        </w:rPr>
      </w:pPr>
      <w:r w:rsidRPr="00FC4A46">
        <w:rPr>
          <w:color w:val="000000"/>
          <w:sz w:val="24"/>
          <w:szCs w:val="24"/>
        </w:rPr>
        <w:t>Minimally invasive surgeries in patients with urolithiasis are not always successful. Prevention of inflammatory and cicatrical-sclerotic complications in the postoperative period plays an important role. 49 patients with urolithiasis divided into two groups were followed-up. The study group included 25 patients who underwent percutaneous puncture nephrolitholapaxy. The control group consisted of 24 patients with a history of percutaneous puncture nephrolitholapaxy. In postoperative period, active prevention of inflammation and cicatrical-sclerotic complications using drug</w:t>
      </w:r>
      <w:r w:rsidRPr="00FC4A46">
        <w:rPr>
          <w:rStyle w:val="apple-converted-space"/>
          <w:color w:val="000000"/>
          <w:sz w:val="24"/>
          <w:szCs w:val="24"/>
        </w:rPr>
        <w:t> </w:t>
      </w:r>
      <w:r w:rsidRPr="00FC4A46">
        <w:rPr>
          <w:rStyle w:val="highlight"/>
          <w:color w:val="000000"/>
          <w:sz w:val="24"/>
          <w:szCs w:val="24"/>
        </w:rPr>
        <w:t>Longidaza</w:t>
      </w:r>
      <w:r w:rsidRPr="00FC4A46">
        <w:rPr>
          <w:rStyle w:val="apple-converted-space"/>
          <w:color w:val="000000"/>
          <w:sz w:val="24"/>
          <w:szCs w:val="24"/>
        </w:rPr>
        <w:t> </w:t>
      </w:r>
      <w:r w:rsidRPr="00FC4A46">
        <w:rPr>
          <w:color w:val="000000"/>
          <w:sz w:val="24"/>
          <w:szCs w:val="24"/>
        </w:rPr>
        <w:t>in combination with magnetic-laser therapy was performed in study group. The control group received standard treatment. 6 months after surgery, 1 (4%) patient in the study group had pyeloectasis approximately 2 cm and obstruction of UPJ of operated kidney, which required re-treatment with</w:t>
      </w:r>
      <w:r w:rsidRPr="00FC4A46">
        <w:rPr>
          <w:rStyle w:val="apple-converted-space"/>
          <w:color w:val="000000"/>
          <w:sz w:val="24"/>
          <w:szCs w:val="24"/>
        </w:rPr>
        <w:t> </w:t>
      </w:r>
      <w:r w:rsidRPr="00FC4A46">
        <w:rPr>
          <w:rStyle w:val="highlight"/>
          <w:color w:val="000000"/>
          <w:sz w:val="24"/>
          <w:szCs w:val="24"/>
        </w:rPr>
        <w:t>Longidaza</w:t>
      </w:r>
      <w:r w:rsidRPr="00FC4A46">
        <w:rPr>
          <w:color w:val="000000"/>
          <w:sz w:val="24"/>
          <w:szCs w:val="24"/>
        </w:rPr>
        <w:t>. In the control group, pyeloectasis and violation of passage through the upper urinary tract were recorded in 4 (16.7%) patients. These data allow to recommend a comprehensive prevention of postoperative inflammation and cicatrical-sclerotic complications using</w:t>
      </w:r>
      <w:r w:rsidRPr="00FC4A46">
        <w:rPr>
          <w:rStyle w:val="apple-converted-space"/>
          <w:color w:val="000000"/>
          <w:sz w:val="24"/>
          <w:szCs w:val="24"/>
        </w:rPr>
        <w:t> </w:t>
      </w:r>
      <w:r w:rsidRPr="00FC4A46">
        <w:rPr>
          <w:rStyle w:val="highlight"/>
          <w:color w:val="000000"/>
          <w:sz w:val="24"/>
          <w:szCs w:val="24"/>
        </w:rPr>
        <w:t>Longidaza</w:t>
      </w:r>
      <w:r w:rsidRPr="00FC4A46">
        <w:rPr>
          <w:rStyle w:val="apple-converted-space"/>
          <w:color w:val="000000"/>
          <w:sz w:val="24"/>
          <w:szCs w:val="24"/>
        </w:rPr>
        <w:t> </w:t>
      </w:r>
      <w:r w:rsidRPr="00FC4A46">
        <w:rPr>
          <w:color w:val="000000"/>
          <w:sz w:val="24"/>
          <w:szCs w:val="24"/>
        </w:rPr>
        <w:t>and magnetic-laser therapy in patients undergoing minimally invasive surgery of the kidney.</w:t>
      </w:r>
    </w:p>
    <w:p w:rsidR="00C33B69" w:rsidRPr="00C33B69" w:rsidRDefault="00C33B69" w:rsidP="00FC4A46">
      <w:pPr>
        <w:pStyle w:val="a4"/>
        <w:spacing w:before="0" w:beforeAutospacing="0" w:after="120" w:afterAutospacing="0" w:line="369" w:lineRule="atLeast"/>
        <w:jc w:val="both"/>
        <w:rPr>
          <w:b/>
          <w:color w:val="000000"/>
          <w:sz w:val="24"/>
          <w:szCs w:val="24"/>
        </w:rPr>
      </w:pPr>
      <w:r w:rsidRPr="00C33B69">
        <w:rPr>
          <w:b/>
          <w:color w:val="000000"/>
          <w:sz w:val="24"/>
          <w:szCs w:val="24"/>
        </w:rPr>
        <w:t xml:space="preserve">Гугл Перевод </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Реабилитация пациентов с мочекаменной болезнью после малоинвазивных процедур на почках.</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Авдошин В.П., Андрюхин М.И., Кирюхина Т.А., Зайцева И.В.</w:t>
      </w:r>
    </w:p>
    <w:p w:rsidR="00FC4A46" w:rsidRDefault="00FC4A46" w:rsidP="00FC4A46">
      <w:pPr>
        <w:pStyle w:val="a4"/>
        <w:spacing w:before="0" w:beforeAutospacing="0" w:after="120" w:afterAutospacing="0" w:line="369" w:lineRule="atLeast"/>
        <w:jc w:val="both"/>
        <w:rPr>
          <w:color w:val="000000"/>
          <w:sz w:val="24"/>
          <w:szCs w:val="24"/>
        </w:rPr>
      </w:pPr>
      <w:r w:rsidRPr="00FC4A46">
        <w:rPr>
          <w:color w:val="000000"/>
          <w:sz w:val="24"/>
          <w:szCs w:val="24"/>
        </w:rPr>
        <w:t>Минимально инвазивные операции у пациентов с мочекаменной болезнью не всегда успешны. Важную роль играет профилактика воспалительных и рубцово-склеротических осложнений в послеоперационном периоде. Было обследовано 49 пациентов с мочекаменной болезнью, разделенных на две группы. В основную группу вошли 25 пациентов, перенесших чрескожную пункционную нефролитолапаксию. Контрольную группу составили 24 пациента с чрескожной пункционной нефролитолапаксией в анамнезе. В послеоперационном периоде в основной группе проводилась активная профилактика воспалительных и рубцово-склеротических осложнений с применением препарата Лонгидаза в сочетании с магнитолазерной терапией. Контрольная группа получала стандартное лечение. Через 6 месяцев после операции 1 (4%) пациент в основной группе имел пиелоэктазию около 2 см и обструкцию UPJ оперированной почки, что требовало повторного лечения лонгидазой. В контрольной группе пиелоэктазия и нарушение прохождения через верхние мочевые пути были зафиксированы у 4 (16,7%) пациентов. Эти данные позволяют рекомендовать комплексную профилактику послеоперационного воспаления и рубцово-склеротических осложнений с использованием лонгидазы и магнитолазеротерапии у пациентов, перенесших малоинвазивные операции на почках.</w:t>
      </w:r>
    </w:p>
    <w:p w:rsidR="00C33B69" w:rsidRPr="00FC4A46" w:rsidRDefault="00C33B69" w:rsidP="00FC4A46">
      <w:pPr>
        <w:pStyle w:val="a4"/>
        <w:spacing w:before="0" w:beforeAutospacing="0" w:after="120" w:afterAutospacing="0" w:line="369" w:lineRule="atLeast"/>
        <w:jc w:val="both"/>
        <w:rPr>
          <w:color w:val="000000"/>
          <w:sz w:val="24"/>
          <w:szCs w:val="24"/>
        </w:rPr>
      </w:pPr>
    </w:p>
    <w:p w:rsidR="00FC4A46" w:rsidRPr="00C33B69" w:rsidRDefault="00FC4A46" w:rsidP="00FC4A46">
      <w:pPr>
        <w:pStyle w:val="1"/>
        <w:spacing w:before="120" w:beforeAutospacing="0" w:after="120" w:afterAutospacing="0" w:line="300" w:lineRule="atLeast"/>
        <w:jc w:val="both"/>
        <w:rPr>
          <w:rFonts w:eastAsia="Times New Roman" w:cs="Times New Roman"/>
          <w:color w:val="000000"/>
          <w:sz w:val="28"/>
          <w:szCs w:val="24"/>
        </w:rPr>
      </w:pPr>
      <w:r w:rsidRPr="00C33B69">
        <w:rPr>
          <w:rFonts w:eastAsia="Times New Roman" w:cs="Times New Roman"/>
          <w:color w:val="000000"/>
          <w:sz w:val="28"/>
          <w:szCs w:val="24"/>
        </w:rPr>
        <w:t>[The application of the cryosurgical and lymphotropic technologies for the combined treatment of postintubation tracheal stenosis].</w:t>
      </w:r>
    </w:p>
    <w:p w:rsidR="00FC4A46" w:rsidRPr="00FC4A46" w:rsidRDefault="00FC4A46" w:rsidP="00FC4A46">
      <w:pPr>
        <w:jc w:val="both"/>
        <w:rPr>
          <w:rFonts w:ascii="Times New Roman" w:eastAsia="Times New Roman" w:hAnsi="Times New Roman" w:cs="Times New Roman"/>
        </w:rPr>
      </w:pPr>
    </w:p>
    <w:p w:rsidR="00FC4A46" w:rsidRPr="00FC4A46" w:rsidRDefault="00FC4A46" w:rsidP="00FC4A46">
      <w:pPr>
        <w:jc w:val="both"/>
        <w:rPr>
          <w:rFonts w:ascii="Times New Roman" w:eastAsia="Times New Roman" w:hAnsi="Times New Roman" w:cs="Times New Roman"/>
        </w:rPr>
      </w:pPr>
      <w:hyperlink r:id="rId41" w:history="1">
        <w:r w:rsidRPr="00FC4A46">
          <w:rPr>
            <w:rStyle w:val="a3"/>
            <w:rFonts w:ascii="Times New Roman" w:eastAsia="Times New Roman" w:hAnsi="Times New Roman" w:cs="Times New Roman"/>
            <w:color w:val="660066"/>
          </w:rPr>
          <w:t>Topol'nitskiĭ EB</w:t>
        </w:r>
      </w:hyperlink>
      <w:r w:rsidRPr="00FC4A46">
        <w:rPr>
          <w:rFonts w:ascii="Times New Roman" w:eastAsia="Times New Roman" w:hAnsi="Times New Roman" w:cs="Times New Roman"/>
        </w:rPr>
        <w:t>,</w:t>
      </w:r>
      <w:r w:rsidRPr="00FC4A46">
        <w:rPr>
          <w:rStyle w:val="apple-converted-space"/>
          <w:rFonts w:ascii="Times New Roman" w:eastAsia="Times New Roman" w:hAnsi="Times New Roman" w:cs="Times New Roman"/>
        </w:rPr>
        <w:t> </w:t>
      </w:r>
      <w:hyperlink r:id="rId42" w:history="1">
        <w:r w:rsidRPr="00FC4A46">
          <w:rPr>
            <w:rStyle w:val="a3"/>
            <w:rFonts w:ascii="Times New Roman" w:eastAsia="Times New Roman" w:hAnsi="Times New Roman" w:cs="Times New Roman"/>
            <w:color w:val="660066"/>
          </w:rPr>
          <w:t>Dambaev GTs</w:t>
        </w:r>
      </w:hyperlink>
      <w:r w:rsidRPr="00FC4A46">
        <w:rPr>
          <w:rFonts w:ascii="Times New Roman" w:eastAsia="Times New Roman" w:hAnsi="Times New Roman" w:cs="Times New Roman"/>
        </w:rPr>
        <w:t>.</w:t>
      </w:r>
    </w:p>
    <w:p w:rsidR="00FC4A46" w:rsidRPr="00FC4A46" w:rsidRDefault="00FC4A46" w:rsidP="00FC4A46">
      <w:pPr>
        <w:pStyle w:val="3"/>
        <w:spacing w:before="0" w:beforeAutospacing="0" w:after="0" w:afterAutospacing="0"/>
        <w:jc w:val="both"/>
        <w:rPr>
          <w:rFonts w:eastAsia="Times New Roman" w:cs="Times New Roman"/>
          <w:color w:val="985735"/>
          <w:sz w:val="24"/>
          <w:szCs w:val="24"/>
        </w:rPr>
      </w:pPr>
      <w:r w:rsidRPr="00FC4A46">
        <w:rPr>
          <w:rFonts w:eastAsia="Times New Roman" w:cs="Times New Roman"/>
          <w:color w:val="985735"/>
          <w:sz w:val="24"/>
          <w:szCs w:val="24"/>
        </w:rPr>
        <w:t>Abstract</w:t>
      </w:r>
    </w:p>
    <w:p w:rsidR="00FC4A46" w:rsidRPr="00FC4A46" w:rsidRDefault="00FC4A46" w:rsidP="00FC4A46">
      <w:pPr>
        <w:pStyle w:val="a4"/>
        <w:spacing w:before="0" w:beforeAutospacing="0" w:after="120" w:afterAutospacing="0" w:line="369" w:lineRule="atLeast"/>
        <w:jc w:val="both"/>
        <w:rPr>
          <w:sz w:val="24"/>
          <w:szCs w:val="24"/>
        </w:rPr>
      </w:pPr>
      <w:r w:rsidRPr="00FC4A46">
        <w:rPr>
          <w:sz w:val="24"/>
          <w:szCs w:val="24"/>
        </w:rPr>
        <w:t>The combined treatment of 10 patients presenting with postintubation thracheal stenosis was carried out with the application of the cryosurgical and lymphotropic technologies. Cryogenic treatment of ciatrical stenosis was performed through the tracheostoma using a titanium nickelide cryoappliactor. The effect of the cryogenic treatment was enhanced by a lymphotropic mixture composed of diprospan and</w:t>
      </w:r>
      <w:r w:rsidRPr="00FC4A46">
        <w:rPr>
          <w:rStyle w:val="apple-converted-space"/>
          <w:sz w:val="24"/>
          <w:szCs w:val="24"/>
        </w:rPr>
        <w:t> </w:t>
      </w:r>
      <w:r w:rsidRPr="00FC4A46">
        <w:rPr>
          <w:rStyle w:val="highlight"/>
          <w:sz w:val="24"/>
          <w:szCs w:val="24"/>
        </w:rPr>
        <w:t>longidaza</w:t>
      </w:r>
      <w:r w:rsidRPr="00FC4A46">
        <w:rPr>
          <w:sz w:val="24"/>
          <w:szCs w:val="24"/>
        </w:rPr>
        <w:t>and administered retrosternally as a course of up to three injections once in a week. In the intervals between the injections and after the termination of the course, the patients were asked to inhale</w:t>
      </w:r>
      <w:r w:rsidRPr="00FC4A46">
        <w:rPr>
          <w:rStyle w:val="apple-converted-space"/>
          <w:sz w:val="24"/>
          <w:szCs w:val="24"/>
        </w:rPr>
        <w:t> </w:t>
      </w:r>
      <w:r w:rsidRPr="00FC4A46">
        <w:rPr>
          <w:rStyle w:val="highlight"/>
          <w:sz w:val="24"/>
          <w:szCs w:val="24"/>
        </w:rPr>
        <w:t>longidaza</w:t>
      </w:r>
      <w:r w:rsidRPr="00FC4A46">
        <w:rPr>
          <w:sz w:val="24"/>
          <w:szCs w:val="24"/>
        </w:rPr>
        <w:t>dissolved in a broncho- or mucolytic preparation through a nebulizer (up to 5 inhalations). All the treated patients reported the recovery of normal breathing through the natural airways.</w:t>
      </w:r>
    </w:p>
    <w:p w:rsidR="00FC4A46" w:rsidRPr="00C33B69" w:rsidRDefault="00FC4A46" w:rsidP="00C33B69">
      <w:pPr>
        <w:jc w:val="center"/>
        <w:rPr>
          <w:rFonts w:ascii="Times New Roman" w:eastAsia="Times New Roman" w:hAnsi="Times New Roman" w:cs="Times New Roman"/>
          <w:b/>
        </w:rPr>
      </w:pPr>
    </w:p>
    <w:p w:rsidR="00C33B69" w:rsidRPr="00C33B69" w:rsidRDefault="00C33B69" w:rsidP="00C33B69">
      <w:pPr>
        <w:jc w:val="center"/>
        <w:rPr>
          <w:rFonts w:ascii="Times New Roman" w:eastAsia="Times New Roman" w:hAnsi="Times New Roman" w:cs="Times New Roman"/>
          <w:b/>
        </w:rPr>
      </w:pPr>
      <w:r w:rsidRPr="00C33B69">
        <w:rPr>
          <w:rFonts w:ascii="Times New Roman" w:eastAsia="Times New Roman" w:hAnsi="Times New Roman" w:cs="Times New Roman"/>
          <w:b/>
        </w:rPr>
        <w:t>Гугл Перевод</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Применение криохирургических и лимфотропных технологий для комбинированного лечения постинтубационного стеноза трахеи.</w:t>
      </w:r>
    </w:p>
    <w:p w:rsidR="00FC4A46" w:rsidRPr="00FC4A46" w:rsidRDefault="00FC4A46" w:rsidP="00FC4A46">
      <w:pPr>
        <w:pStyle w:val="a4"/>
        <w:spacing w:after="120" w:line="369" w:lineRule="atLeast"/>
        <w:jc w:val="both"/>
        <w:rPr>
          <w:color w:val="000000"/>
          <w:sz w:val="24"/>
          <w:szCs w:val="24"/>
        </w:rPr>
      </w:pPr>
      <w:r w:rsidRPr="00FC4A46">
        <w:rPr>
          <w:color w:val="000000"/>
          <w:sz w:val="24"/>
          <w:szCs w:val="24"/>
        </w:rPr>
        <w:t>Топольницкий Е.Б., Дамбаев Г.Ц.</w:t>
      </w:r>
    </w:p>
    <w:p w:rsidR="00FC4A46" w:rsidRPr="00FC4A46" w:rsidRDefault="00FC4A46" w:rsidP="00FC4A46">
      <w:pPr>
        <w:pStyle w:val="a4"/>
        <w:spacing w:before="0" w:beforeAutospacing="0" w:after="120" w:afterAutospacing="0" w:line="369" w:lineRule="atLeast"/>
        <w:jc w:val="both"/>
        <w:rPr>
          <w:color w:val="000000"/>
          <w:sz w:val="24"/>
          <w:szCs w:val="24"/>
        </w:rPr>
      </w:pPr>
      <w:r w:rsidRPr="00FC4A46">
        <w:rPr>
          <w:color w:val="000000"/>
          <w:sz w:val="24"/>
          <w:szCs w:val="24"/>
        </w:rPr>
        <w:t>Комбинированное лечение 10 пациентов с постинтубационным стенозом трахеи проводилось с применением криохирургических и лимфотропных технологий. Криогенное лечение катетерного стеноза проводилось через трахеостому с использованием криоаппликатора с никелидным титаном. Эффект криогенного лечения усиливался лимфотропной смесью, состоящей из дипроспана и лонгидазы и вводимой ретростернально в виде курса до трех инъекций один раз в неделю. В промежутках между инъекциями и после окончания курса пациентов просили вдыхать лонгидазу, растворенную в бронхо- или муколитическом препарате, через небулайзер (до 5 ингаляций). Все пролеченные пациенты сообщили о восстановлении нормального дыхания через естественные дыхательные пути.</w:t>
      </w:r>
    </w:p>
    <w:p w:rsidR="0038675A" w:rsidRDefault="0038675A" w:rsidP="0038675A">
      <w:pPr>
        <w:pStyle w:val="a4"/>
        <w:spacing w:before="0" w:beforeAutospacing="0" w:after="120" w:afterAutospacing="0" w:line="369" w:lineRule="atLeast"/>
        <w:rPr>
          <w:rFonts w:ascii="Arial" w:hAnsi="Arial" w:cs="Arial"/>
          <w:color w:val="000000"/>
          <w:sz w:val="21"/>
          <w:szCs w:val="21"/>
        </w:rPr>
      </w:pPr>
    </w:p>
    <w:p w:rsidR="0038675A" w:rsidRDefault="0038675A" w:rsidP="0038675A">
      <w:pPr>
        <w:pStyle w:val="a4"/>
        <w:spacing w:before="0" w:beforeAutospacing="0" w:after="120" w:afterAutospacing="0" w:line="369" w:lineRule="atLeast"/>
        <w:rPr>
          <w:rFonts w:ascii="Arial" w:hAnsi="Arial" w:cs="Arial"/>
          <w:color w:val="000000"/>
          <w:sz w:val="21"/>
          <w:szCs w:val="21"/>
        </w:rPr>
      </w:pPr>
    </w:p>
    <w:p w:rsidR="0038675A" w:rsidRPr="00697A5B" w:rsidRDefault="0038675A" w:rsidP="00697A5B">
      <w:pPr>
        <w:pStyle w:val="a4"/>
        <w:spacing w:before="0" w:beforeAutospacing="0" w:after="120" w:afterAutospacing="0" w:line="369" w:lineRule="atLeast"/>
        <w:jc w:val="both"/>
        <w:rPr>
          <w:sz w:val="24"/>
          <w:szCs w:val="24"/>
        </w:rPr>
      </w:pPr>
    </w:p>
    <w:p w:rsidR="001D50C4" w:rsidRPr="00697A5B" w:rsidRDefault="001D50C4" w:rsidP="00697A5B">
      <w:pPr>
        <w:jc w:val="both"/>
        <w:rPr>
          <w:rFonts w:ascii="Times New Roman" w:eastAsia="Times New Roman" w:hAnsi="Times New Roman" w:cs="Times New Roman"/>
        </w:rPr>
      </w:pPr>
    </w:p>
    <w:p w:rsidR="001D50C4" w:rsidRPr="00697A5B" w:rsidRDefault="001D50C4" w:rsidP="00697A5B">
      <w:pPr>
        <w:pStyle w:val="a4"/>
        <w:spacing w:before="0" w:beforeAutospacing="0" w:after="120" w:afterAutospacing="0" w:line="369" w:lineRule="atLeast"/>
        <w:jc w:val="both"/>
        <w:rPr>
          <w:sz w:val="24"/>
          <w:szCs w:val="24"/>
        </w:rPr>
      </w:pPr>
    </w:p>
    <w:p w:rsidR="001D50C4" w:rsidRPr="00697A5B" w:rsidRDefault="001D50C4" w:rsidP="00697A5B">
      <w:pPr>
        <w:pStyle w:val="a4"/>
        <w:spacing w:before="0" w:beforeAutospacing="0" w:after="120" w:afterAutospacing="0" w:line="369" w:lineRule="atLeast"/>
        <w:jc w:val="both"/>
        <w:rPr>
          <w:sz w:val="24"/>
          <w:szCs w:val="24"/>
        </w:rPr>
      </w:pPr>
    </w:p>
    <w:p w:rsidR="001D50C4" w:rsidRPr="00697A5B" w:rsidRDefault="001D50C4" w:rsidP="00697A5B">
      <w:pPr>
        <w:pStyle w:val="a4"/>
        <w:spacing w:before="0" w:beforeAutospacing="0" w:after="120" w:afterAutospacing="0" w:line="369" w:lineRule="atLeast"/>
        <w:jc w:val="both"/>
        <w:rPr>
          <w:sz w:val="24"/>
          <w:szCs w:val="24"/>
        </w:rPr>
      </w:pPr>
    </w:p>
    <w:p w:rsidR="001D50C4" w:rsidRPr="00697A5B" w:rsidRDefault="001D50C4" w:rsidP="00697A5B">
      <w:pPr>
        <w:jc w:val="both"/>
        <w:rPr>
          <w:rFonts w:ascii="Times New Roman" w:eastAsia="Times New Roman" w:hAnsi="Times New Roman" w:cs="Times New Roman"/>
        </w:rPr>
      </w:pPr>
    </w:p>
    <w:p w:rsidR="001D50C4" w:rsidRPr="00697A5B" w:rsidRDefault="001D50C4" w:rsidP="00697A5B">
      <w:pPr>
        <w:jc w:val="both"/>
        <w:rPr>
          <w:rFonts w:ascii="Times New Roman" w:hAnsi="Times New Roman" w:cs="Times New Roman"/>
          <w:b/>
        </w:rPr>
      </w:pPr>
    </w:p>
    <w:p w:rsidR="001D50C4" w:rsidRPr="00697A5B" w:rsidRDefault="001D50C4" w:rsidP="00697A5B">
      <w:pPr>
        <w:jc w:val="both"/>
        <w:rPr>
          <w:rFonts w:ascii="Times New Roman" w:hAnsi="Times New Roman" w:cs="Times New Roman"/>
          <w:b/>
        </w:rPr>
      </w:pPr>
    </w:p>
    <w:sectPr w:rsidR="001D50C4" w:rsidRPr="00697A5B" w:rsidSect="001B094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AC"/>
    <w:rsid w:val="001B0942"/>
    <w:rsid w:val="001D50C4"/>
    <w:rsid w:val="0038675A"/>
    <w:rsid w:val="00404DAC"/>
    <w:rsid w:val="00697A5B"/>
    <w:rsid w:val="00855846"/>
    <w:rsid w:val="00AB28F9"/>
    <w:rsid w:val="00C33B69"/>
    <w:rsid w:val="00FC4A4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1B9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50C4"/>
    <w:pPr>
      <w:spacing w:before="100" w:beforeAutospacing="1" w:after="100" w:afterAutospacing="1"/>
      <w:outlineLvl w:val="0"/>
    </w:pPr>
    <w:rPr>
      <w:rFonts w:ascii="Times New Roman" w:hAnsi="Times New Roman"/>
      <w:b/>
      <w:bCs/>
      <w:kern w:val="36"/>
      <w:sz w:val="48"/>
      <w:szCs w:val="48"/>
    </w:rPr>
  </w:style>
  <w:style w:type="paragraph" w:styleId="3">
    <w:name w:val="heading 3"/>
    <w:basedOn w:val="a"/>
    <w:link w:val="30"/>
    <w:uiPriority w:val="9"/>
    <w:qFormat/>
    <w:rsid w:val="001D50C4"/>
    <w:pPr>
      <w:spacing w:before="100" w:beforeAutospacing="1" w:after="100" w:afterAutospacing="1"/>
      <w:outlineLvl w:val="2"/>
    </w:pPr>
    <w:rPr>
      <w:rFonts w:ascii="Times New Roman" w:hAnsi="Times New Roman"/>
      <w:b/>
      <w:bCs/>
      <w:sz w:val="27"/>
      <w:szCs w:val="27"/>
    </w:rPr>
  </w:style>
  <w:style w:type="paragraph" w:styleId="4">
    <w:name w:val="heading 4"/>
    <w:basedOn w:val="a"/>
    <w:next w:val="a"/>
    <w:link w:val="40"/>
    <w:uiPriority w:val="9"/>
    <w:semiHidden/>
    <w:unhideWhenUsed/>
    <w:qFormat/>
    <w:rsid w:val="001D50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5846"/>
    <w:rPr>
      <w:color w:val="0000FF" w:themeColor="hyperlink"/>
      <w:u w:val="single"/>
    </w:rPr>
  </w:style>
  <w:style w:type="character" w:customStyle="1" w:styleId="10">
    <w:name w:val="Заголовок 1 Знак"/>
    <w:basedOn w:val="a0"/>
    <w:link w:val="1"/>
    <w:uiPriority w:val="9"/>
    <w:rsid w:val="001D50C4"/>
    <w:rPr>
      <w:rFonts w:ascii="Times New Roman" w:hAnsi="Times New Roman"/>
      <w:b/>
      <w:bCs/>
      <w:kern w:val="36"/>
      <w:sz w:val="48"/>
      <w:szCs w:val="48"/>
    </w:rPr>
  </w:style>
  <w:style w:type="character" w:customStyle="1" w:styleId="30">
    <w:name w:val="Заголовок 3 Знак"/>
    <w:basedOn w:val="a0"/>
    <w:link w:val="3"/>
    <w:uiPriority w:val="9"/>
    <w:rsid w:val="001D50C4"/>
    <w:rPr>
      <w:rFonts w:ascii="Times New Roman" w:hAnsi="Times New Roman"/>
      <w:b/>
      <w:bCs/>
      <w:sz w:val="27"/>
      <w:szCs w:val="27"/>
    </w:rPr>
  </w:style>
  <w:style w:type="character" w:customStyle="1" w:styleId="apple-converted-space">
    <w:name w:val="apple-converted-space"/>
    <w:basedOn w:val="a0"/>
    <w:rsid w:val="001D50C4"/>
  </w:style>
  <w:style w:type="character" w:customStyle="1" w:styleId="ui-ncbitoggler-master-text">
    <w:name w:val="ui-ncbitoggler-master-text"/>
    <w:basedOn w:val="a0"/>
    <w:rsid w:val="001D50C4"/>
  </w:style>
  <w:style w:type="paragraph" w:styleId="a4">
    <w:name w:val="Normal (Web)"/>
    <w:basedOn w:val="a"/>
    <w:uiPriority w:val="99"/>
    <w:semiHidden/>
    <w:unhideWhenUsed/>
    <w:rsid w:val="001D50C4"/>
    <w:pPr>
      <w:spacing w:before="100" w:beforeAutospacing="1" w:after="100" w:afterAutospacing="1"/>
    </w:pPr>
    <w:rPr>
      <w:rFonts w:ascii="Times New Roman" w:hAnsi="Times New Roman" w:cs="Times New Roman"/>
      <w:sz w:val="20"/>
      <w:szCs w:val="20"/>
    </w:rPr>
  </w:style>
  <w:style w:type="character" w:customStyle="1" w:styleId="highlight">
    <w:name w:val="highlight"/>
    <w:basedOn w:val="a0"/>
    <w:rsid w:val="001D50C4"/>
  </w:style>
  <w:style w:type="character" w:customStyle="1" w:styleId="40">
    <w:name w:val="Заголовок 4 Знак"/>
    <w:basedOn w:val="a0"/>
    <w:link w:val="4"/>
    <w:uiPriority w:val="9"/>
    <w:semiHidden/>
    <w:rsid w:val="001D50C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50C4"/>
    <w:pPr>
      <w:spacing w:before="100" w:beforeAutospacing="1" w:after="100" w:afterAutospacing="1"/>
      <w:outlineLvl w:val="0"/>
    </w:pPr>
    <w:rPr>
      <w:rFonts w:ascii="Times New Roman" w:hAnsi="Times New Roman"/>
      <w:b/>
      <w:bCs/>
      <w:kern w:val="36"/>
      <w:sz w:val="48"/>
      <w:szCs w:val="48"/>
    </w:rPr>
  </w:style>
  <w:style w:type="paragraph" w:styleId="3">
    <w:name w:val="heading 3"/>
    <w:basedOn w:val="a"/>
    <w:link w:val="30"/>
    <w:uiPriority w:val="9"/>
    <w:qFormat/>
    <w:rsid w:val="001D50C4"/>
    <w:pPr>
      <w:spacing w:before="100" w:beforeAutospacing="1" w:after="100" w:afterAutospacing="1"/>
      <w:outlineLvl w:val="2"/>
    </w:pPr>
    <w:rPr>
      <w:rFonts w:ascii="Times New Roman" w:hAnsi="Times New Roman"/>
      <w:b/>
      <w:bCs/>
      <w:sz w:val="27"/>
      <w:szCs w:val="27"/>
    </w:rPr>
  </w:style>
  <w:style w:type="paragraph" w:styleId="4">
    <w:name w:val="heading 4"/>
    <w:basedOn w:val="a"/>
    <w:next w:val="a"/>
    <w:link w:val="40"/>
    <w:uiPriority w:val="9"/>
    <w:semiHidden/>
    <w:unhideWhenUsed/>
    <w:qFormat/>
    <w:rsid w:val="001D50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5846"/>
    <w:rPr>
      <w:color w:val="0000FF" w:themeColor="hyperlink"/>
      <w:u w:val="single"/>
    </w:rPr>
  </w:style>
  <w:style w:type="character" w:customStyle="1" w:styleId="10">
    <w:name w:val="Заголовок 1 Знак"/>
    <w:basedOn w:val="a0"/>
    <w:link w:val="1"/>
    <w:uiPriority w:val="9"/>
    <w:rsid w:val="001D50C4"/>
    <w:rPr>
      <w:rFonts w:ascii="Times New Roman" w:hAnsi="Times New Roman"/>
      <w:b/>
      <w:bCs/>
      <w:kern w:val="36"/>
      <w:sz w:val="48"/>
      <w:szCs w:val="48"/>
    </w:rPr>
  </w:style>
  <w:style w:type="character" w:customStyle="1" w:styleId="30">
    <w:name w:val="Заголовок 3 Знак"/>
    <w:basedOn w:val="a0"/>
    <w:link w:val="3"/>
    <w:uiPriority w:val="9"/>
    <w:rsid w:val="001D50C4"/>
    <w:rPr>
      <w:rFonts w:ascii="Times New Roman" w:hAnsi="Times New Roman"/>
      <w:b/>
      <w:bCs/>
      <w:sz w:val="27"/>
      <w:szCs w:val="27"/>
    </w:rPr>
  </w:style>
  <w:style w:type="character" w:customStyle="1" w:styleId="apple-converted-space">
    <w:name w:val="apple-converted-space"/>
    <w:basedOn w:val="a0"/>
    <w:rsid w:val="001D50C4"/>
  </w:style>
  <w:style w:type="character" w:customStyle="1" w:styleId="ui-ncbitoggler-master-text">
    <w:name w:val="ui-ncbitoggler-master-text"/>
    <w:basedOn w:val="a0"/>
    <w:rsid w:val="001D50C4"/>
  </w:style>
  <w:style w:type="paragraph" w:styleId="a4">
    <w:name w:val="Normal (Web)"/>
    <w:basedOn w:val="a"/>
    <w:uiPriority w:val="99"/>
    <w:semiHidden/>
    <w:unhideWhenUsed/>
    <w:rsid w:val="001D50C4"/>
    <w:pPr>
      <w:spacing w:before="100" w:beforeAutospacing="1" w:after="100" w:afterAutospacing="1"/>
    </w:pPr>
    <w:rPr>
      <w:rFonts w:ascii="Times New Roman" w:hAnsi="Times New Roman" w:cs="Times New Roman"/>
      <w:sz w:val="20"/>
      <w:szCs w:val="20"/>
    </w:rPr>
  </w:style>
  <w:style w:type="character" w:customStyle="1" w:styleId="highlight">
    <w:name w:val="highlight"/>
    <w:basedOn w:val="a0"/>
    <w:rsid w:val="001D50C4"/>
  </w:style>
  <w:style w:type="character" w:customStyle="1" w:styleId="40">
    <w:name w:val="Заголовок 4 Знак"/>
    <w:basedOn w:val="a0"/>
    <w:link w:val="4"/>
    <w:uiPriority w:val="9"/>
    <w:semiHidden/>
    <w:rsid w:val="001D50C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9150">
      <w:bodyDiv w:val="1"/>
      <w:marLeft w:val="0"/>
      <w:marRight w:val="0"/>
      <w:marTop w:val="0"/>
      <w:marBottom w:val="0"/>
      <w:divBdr>
        <w:top w:val="none" w:sz="0" w:space="0" w:color="auto"/>
        <w:left w:val="none" w:sz="0" w:space="0" w:color="auto"/>
        <w:bottom w:val="none" w:sz="0" w:space="0" w:color="auto"/>
        <w:right w:val="none" w:sz="0" w:space="0" w:color="auto"/>
      </w:divBdr>
      <w:divsChild>
        <w:div w:id="107743226">
          <w:marLeft w:val="0"/>
          <w:marRight w:val="0"/>
          <w:marTop w:val="288"/>
          <w:marBottom w:val="100"/>
          <w:divBdr>
            <w:top w:val="none" w:sz="0" w:space="0" w:color="auto"/>
            <w:left w:val="none" w:sz="0" w:space="0" w:color="auto"/>
            <w:bottom w:val="none" w:sz="0" w:space="0" w:color="auto"/>
            <w:right w:val="none" w:sz="0" w:space="0" w:color="auto"/>
          </w:divBdr>
          <w:divsChild>
            <w:div w:id="16165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98">
      <w:bodyDiv w:val="1"/>
      <w:marLeft w:val="0"/>
      <w:marRight w:val="0"/>
      <w:marTop w:val="0"/>
      <w:marBottom w:val="0"/>
      <w:divBdr>
        <w:top w:val="none" w:sz="0" w:space="0" w:color="auto"/>
        <w:left w:val="none" w:sz="0" w:space="0" w:color="auto"/>
        <w:bottom w:val="none" w:sz="0" w:space="0" w:color="auto"/>
        <w:right w:val="none" w:sz="0" w:space="0" w:color="auto"/>
      </w:divBdr>
      <w:divsChild>
        <w:div w:id="861171236">
          <w:marLeft w:val="0"/>
          <w:marRight w:val="0"/>
          <w:marTop w:val="0"/>
          <w:marBottom w:val="0"/>
          <w:divBdr>
            <w:top w:val="none" w:sz="0" w:space="0" w:color="auto"/>
            <w:left w:val="none" w:sz="0" w:space="0" w:color="auto"/>
            <w:bottom w:val="none" w:sz="0" w:space="0" w:color="auto"/>
            <w:right w:val="none" w:sz="0" w:space="0" w:color="auto"/>
          </w:divBdr>
        </w:div>
        <w:div w:id="2084447207">
          <w:marLeft w:val="0"/>
          <w:marRight w:val="0"/>
          <w:marTop w:val="0"/>
          <w:marBottom w:val="0"/>
          <w:divBdr>
            <w:top w:val="none" w:sz="0" w:space="0" w:color="auto"/>
            <w:left w:val="none" w:sz="0" w:space="0" w:color="auto"/>
            <w:bottom w:val="none" w:sz="0" w:space="0" w:color="auto"/>
            <w:right w:val="none" w:sz="0" w:space="0" w:color="auto"/>
          </w:divBdr>
        </w:div>
        <w:div w:id="23135519">
          <w:marLeft w:val="0"/>
          <w:marRight w:val="0"/>
          <w:marTop w:val="0"/>
          <w:marBottom w:val="0"/>
          <w:divBdr>
            <w:top w:val="none" w:sz="0" w:space="0" w:color="auto"/>
            <w:left w:val="none" w:sz="0" w:space="0" w:color="auto"/>
            <w:bottom w:val="none" w:sz="0" w:space="0" w:color="auto"/>
            <w:right w:val="none" w:sz="0" w:space="0" w:color="auto"/>
          </w:divBdr>
          <w:divsChild>
            <w:div w:id="1712925098">
              <w:marLeft w:val="0"/>
              <w:marRight w:val="0"/>
              <w:marTop w:val="0"/>
              <w:marBottom w:val="0"/>
              <w:divBdr>
                <w:top w:val="none" w:sz="0" w:space="0" w:color="auto"/>
                <w:left w:val="none" w:sz="0" w:space="0" w:color="auto"/>
                <w:bottom w:val="none" w:sz="0" w:space="0" w:color="auto"/>
                <w:right w:val="none" w:sz="0" w:space="0" w:color="auto"/>
              </w:divBdr>
              <w:divsChild>
                <w:div w:id="1743719237">
                  <w:marLeft w:val="0"/>
                  <w:marRight w:val="0"/>
                  <w:marTop w:val="288"/>
                  <w:marBottom w:val="100"/>
                  <w:divBdr>
                    <w:top w:val="none" w:sz="0" w:space="0" w:color="auto"/>
                    <w:left w:val="none" w:sz="0" w:space="0" w:color="auto"/>
                    <w:bottom w:val="none" w:sz="0" w:space="0" w:color="auto"/>
                    <w:right w:val="none" w:sz="0" w:space="0" w:color="auto"/>
                  </w:divBdr>
                  <w:divsChild>
                    <w:div w:id="17442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710">
      <w:bodyDiv w:val="1"/>
      <w:marLeft w:val="0"/>
      <w:marRight w:val="0"/>
      <w:marTop w:val="0"/>
      <w:marBottom w:val="0"/>
      <w:divBdr>
        <w:top w:val="none" w:sz="0" w:space="0" w:color="auto"/>
        <w:left w:val="none" w:sz="0" w:space="0" w:color="auto"/>
        <w:bottom w:val="none" w:sz="0" w:space="0" w:color="auto"/>
        <w:right w:val="none" w:sz="0" w:space="0" w:color="auto"/>
      </w:divBdr>
      <w:divsChild>
        <w:div w:id="1804469732">
          <w:marLeft w:val="0"/>
          <w:marRight w:val="0"/>
          <w:marTop w:val="288"/>
          <w:marBottom w:val="100"/>
          <w:divBdr>
            <w:top w:val="none" w:sz="0" w:space="0" w:color="auto"/>
            <w:left w:val="none" w:sz="0" w:space="0" w:color="auto"/>
            <w:bottom w:val="none" w:sz="0" w:space="0" w:color="auto"/>
            <w:right w:val="none" w:sz="0" w:space="0" w:color="auto"/>
          </w:divBdr>
          <w:divsChild>
            <w:div w:id="4616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6710">
      <w:bodyDiv w:val="1"/>
      <w:marLeft w:val="0"/>
      <w:marRight w:val="0"/>
      <w:marTop w:val="0"/>
      <w:marBottom w:val="0"/>
      <w:divBdr>
        <w:top w:val="none" w:sz="0" w:space="0" w:color="auto"/>
        <w:left w:val="none" w:sz="0" w:space="0" w:color="auto"/>
        <w:bottom w:val="none" w:sz="0" w:space="0" w:color="auto"/>
        <w:right w:val="none" w:sz="0" w:space="0" w:color="auto"/>
      </w:divBdr>
      <w:divsChild>
        <w:div w:id="1436515073">
          <w:marLeft w:val="0"/>
          <w:marRight w:val="0"/>
          <w:marTop w:val="0"/>
          <w:marBottom w:val="0"/>
          <w:divBdr>
            <w:top w:val="none" w:sz="0" w:space="0" w:color="auto"/>
            <w:left w:val="none" w:sz="0" w:space="0" w:color="auto"/>
            <w:bottom w:val="none" w:sz="0" w:space="0" w:color="auto"/>
            <w:right w:val="none" w:sz="0" w:space="0" w:color="auto"/>
          </w:divBdr>
        </w:div>
        <w:div w:id="2083288042">
          <w:marLeft w:val="0"/>
          <w:marRight w:val="0"/>
          <w:marTop w:val="0"/>
          <w:marBottom w:val="0"/>
          <w:divBdr>
            <w:top w:val="none" w:sz="0" w:space="0" w:color="auto"/>
            <w:left w:val="none" w:sz="0" w:space="0" w:color="auto"/>
            <w:bottom w:val="none" w:sz="0" w:space="0" w:color="auto"/>
            <w:right w:val="none" w:sz="0" w:space="0" w:color="auto"/>
          </w:divBdr>
        </w:div>
        <w:div w:id="866480270">
          <w:marLeft w:val="0"/>
          <w:marRight w:val="0"/>
          <w:marTop w:val="288"/>
          <w:marBottom w:val="100"/>
          <w:divBdr>
            <w:top w:val="none" w:sz="0" w:space="0" w:color="auto"/>
            <w:left w:val="none" w:sz="0" w:space="0" w:color="auto"/>
            <w:bottom w:val="none" w:sz="0" w:space="0" w:color="auto"/>
            <w:right w:val="none" w:sz="0" w:space="0" w:color="auto"/>
          </w:divBdr>
          <w:divsChild>
            <w:div w:id="2579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5804">
      <w:bodyDiv w:val="1"/>
      <w:marLeft w:val="0"/>
      <w:marRight w:val="0"/>
      <w:marTop w:val="0"/>
      <w:marBottom w:val="0"/>
      <w:divBdr>
        <w:top w:val="none" w:sz="0" w:space="0" w:color="auto"/>
        <w:left w:val="none" w:sz="0" w:space="0" w:color="auto"/>
        <w:bottom w:val="none" w:sz="0" w:space="0" w:color="auto"/>
        <w:right w:val="none" w:sz="0" w:space="0" w:color="auto"/>
      </w:divBdr>
      <w:divsChild>
        <w:div w:id="2108886495">
          <w:marLeft w:val="0"/>
          <w:marRight w:val="0"/>
          <w:marTop w:val="288"/>
          <w:marBottom w:val="100"/>
          <w:divBdr>
            <w:top w:val="none" w:sz="0" w:space="0" w:color="auto"/>
            <w:left w:val="none" w:sz="0" w:space="0" w:color="auto"/>
            <w:bottom w:val="none" w:sz="0" w:space="0" w:color="auto"/>
            <w:right w:val="none" w:sz="0" w:space="0" w:color="auto"/>
          </w:divBdr>
          <w:divsChild>
            <w:div w:id="3727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2610">
      <w:bodyDiv w:val="1"/>
      <w:marLeft w:val="0"/>
      <w:marRight w:val="0"/>
      <w:marTop w:val="0"/>
      <w:marBottom w:val="0"/>
      <w:divBdr>
        <w:top w:val="none" w:sz="0" w:space="0" w:color="auto"/>
        <w:left w:val="none" w:sz="0" w:space="0" w:color="auto"/>
        <w:bottom w:val="none" w:sz="0" w:space="0" w:color="auto"/>
        <w:right w:val="none" w:sz="0" w:space="0" w:color="auto"/>
      </w:divBdr>
      <w:divsChild>
        <w:div w:id="2050690925">
          <w:marLeft w:val="0"/>
          <w:marRight w:val="0"/>
          <w:marTop w:val="288"/>
          <w:marBottom w:val="100"/>
          <w:divBdr>
            <w:top w:val="none" w:sz="0" w:space="0" w:color="auto"/>
            <w:left w:val="none" w:sz="0" w:space="0" w:color="auto"/>
            <w:bottom w:val="none" w:sz="0" w:space="0" w:color="auto"/>
            <w:right w:val="none" w:sz="0" w:space="0" w:color="auto"/>
          </w:divBdr>
          <w:divsChild>
            <w:div w:id="5777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9144">
      <w:bodyDiv w:val="1"/>
      <w:marLeft w:val="0"/>
      <w:marRight w:val="0"/>
      <w:marTop w:val="0"/>
      <w:marBottom w:val="0"/>
      <w:divBdr>
        <w:top w:val="none" w:sz="0" w:space="0" w:color="auto"/>
        <w:left w:val="none" w:sz="0" w:space="0" w:color="auto"/>
        <w:bottom w:val="none" w:sz="0" w:space="0" w:color="auto"/>
        <w:right w:val="none" w:sz="0" w:space="0" w:color="auto"/>
      </w:divBdr>
      <w:divsChild>
        <w:div w:id="1216577311">
          <w:marLeft w:val="0"/>
          <w:marRight w:val="0"/>
          <w:marTop w:val="0"/>
          <w:marBottom w:val="0"/>
          <w:divBdr>
            <w:top w:val="none" w:sz="0" w:space="0" w:color="auto"/>
            <w:left w:val="none" w:sz="0" w:space="0" w:color="auto"/>
            <w:bottom w:val="none" w:sz="0" w:space="0" w:color="auto"/>
            <w:right w:val="none" w:sz="0" w:space="0" w:color="auto"/>
          </w:divBdr>
        </w:div>
        <w:div w:id="2042825297">
          <w:marLeft w:val="0"/>
          <w:marRight w:val="0"/>
          <w:marTop w:val="0"/>
          <w:marBottom w:val="0"/>
          <w:divBdr>
            <w:top w:val="none" w:sz="0" w:space="0" w:color="auto"/>
            <w:left w:val="none" w:sz="0" w:space="0" w:color="auto"/>
            <w:bottom w:val="none" w:sz="0" w:space="0" w:color="auto"/>
            <w:right w:val="none" w:sz="0" w:space="0" w:color="auto"/>
          </w:divBdr>
        </w:div>
        <w:div w:id="2071535578">
          <w:marLeft w:val="0"/>
          <w:marRight w:val="0"/>
          <w:marTop w:val="0"/>
          <w:marBottom w:val="0"/>
          <w:divBdr>
            <w:top w:val="none" w:sz="0" w:space="0" w:color="auto"/>
            <w:left w:val="none" w:sz="0" w:space="0" w:color="auto"/>
            <w:bottom w:val="none" w:sz="0" w:space="0" w:color="auto"/>
            <w:right w:val="none" w:sz="0" w:space="0" w:color="auto"/>
          </w:divBdr>
          <w:divsChild>
            <w:div w:id="1515921707">
              <w:marLeft w:val="0"/>
              <w:marRight w:val="0"/>
              <w:marTop w:val="0"/>
              <w:marBottom w:val="0"/>
              <w:divBdr>
                <w:top w:val="none" w:sz="0" w:space="0" w:color="auto"/>
                <w:left w:val="none" w:sz="0" w:space="0" w:color="auto"/>
                <w:bottom w:val="none" w:sz="0" w:space="0" w:color="auto"/>
                <w:right w:val="none" w:sz="0" w:space="0" w:color="auto"/>
              </w:divBdr>
              <w:divsChild>
                <w:div w:id="1036127459">
                  <w:marLeft w:val="0"/>
                  <w:marRight w:val="0"/>
                  <w:marTop w:val="288"/>
                  <w:marBottom w:val="100"/>
                  <w:divBdr>
                    <w:top w:val="none" w:sz="0" w:space="0" w:color="auto"/>
                    <w:left w:val="none" w:sz="0" w:space="0" w:color="auto"/>
                    <w:bottom w:val="none" w:sz="0" w:space="0" w:color="auto"/>
                    <w:right w:val="none" w:sz="0" w:space="0" w:color="auto"/>
                  </w:divBdr>
                  <w:divsChild>
                    <w:div w:id="10551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1585">
      <w:bodyDiv w:val="1"/>
      <w:marLeft w:val="0"/>
      <w:marRight w:val="0"/>
      <w:marTop w:val="0"/>
      <w:marBottom w:val="0"/>
      <w:divBdr>
        <w:top w:val="none" w:sz="0" w:space="0" w:color="auto"/>
        <w:left w:val="none" w:sz="0" w:space="0" w:color="auto"/>
        <w:bottom w:val="none" w:sz="0" w:space="0" w:color="auto"/>
        <w:right w:val="none" w:sz="0" w:space="0" w:color="auto"/>
      </w:divBdr>
      <w:divsChild>
        <w:div w:id="101583372">
          <w:marLeft w:val="0"/>
          <w:marRight w:val="0"/>
          <w:marTop w:val="0"/>
          <w:marBottom w:val="0"/>
          <w:divBdr>
            <w:top w:val="none" w:sz="0" w:space="0" w:color="auto"/>
            <w:left w:val="none" w:sz="0" w:space="0" w:color="auto"/>
            <w:bottom w:val="none" w:sz="0" w:space="0" w:color="auto"/>
            <w:right w:val="none" w:sz="0" w:space="0" w:color="auto"/>
          </w:divBdr>
        </w:div>
        <w:div w:id="4868870">
          <w:marLeft w:val="0"/>
          <w:marRight w:val="0"/>
          <w:marTop w:val="0"/>
          <w:marBottom w:val="0"/>
          <w:divBdr>
            <w:top w:val="none" w:sz="0" w:space="0" w:color="auto"/>
            <w:left w:val="none" w:sz="0" w:space="0" w:color="auto"/>
            <w:bottom w:val="none" w:sz="0" w:space="0" w:color="auto"/>
            <w:right w:val="none" w:sz="0" w:space="0" w:color="auto"/>
          </w:divBdr>
        </w:div>
        <w:div w:id="1346132121">
          <w:marLeft w:val="0"/>
          <w:marRight w:val="0"/>
          <w:marTop w:val="0"/>
          <w:marBottom w:val="0"/>
          <w:divBdr>
            <w:top w:val="none" w:sz="0" w:space="0" w:color="auto"/>
            <w:left w:val="none" w:sz="0" w:space="0" w:color="auto"/>
            <w:bottom w:val="none" w:sz="0" w:space="0" w:color="auto"/>
            <w:right w:val="none" w:sz="0" w:space="0" w:color="auto"/>
          </w:divBdr>
          <w:divsChild>
            <w:div w:id="882521811">
              <w:marLeft w:val="0"/>
              <w:marRight w:val="0"/>
              <w:marTop w:val="0"/>
              <w:marBottom w:val="0"/>
              <w:divBdr>
                <w:top w:val="none" w:sz="0" w:space="0" w:color="auto"/>
                <w:left w:val="none" w:sz="0" w:space="0" w:color="auto"/>
                <w:bottom w:val="none" w:sz="0" w:space="0" w:color="auto"/>
                <w:right w:val="none" w:sz="0" w:space="0" w:color="auto"/>
              </w:divBdr>
              <w:divsChild>
                <w:div w:id="818612052">
                  <w:marLeft w:val="0"/>
                  <w:marRight w:val="0"/>
                  <w:marTop w:val="288"/>
                  <w:marBottom w:val="100"/>
                  <w:divBdr>
                    <w:top w:val="none" w:sz="0" w:space="0" w:color="auto"/>
                    <w:left w:val="none" w:sz="0" w:space="0" w:color="auto"/>
                    <w:bottom w:val="none" w:sz="0" w:space="0" w:color="auto"/>
                    <w:right w:val="none" w:sz="0" w:space="0" w:color="auto"/>
                  </w:divBdr>
                  <w:divsChild>
                    <w:div w:id="10345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ncbi.nlm.nih.gov/pubmed/?term=Dudareva%20AA%5BAuthor%5D&amp;cauthor=true&amp;cauthor_uid=28247738" TargetMode="External"/><Relationship Id="rId21" Type="http://schemas.openxmlformats.org/officeDocument/2006/relationships/hyperlink" Target="https://www.ncbi.nlm.nih.gov/pubmed/28247738" TargetMode="External"/><Relationship Id="rId22" Type="http://schemas.openxmlformats.org/officeDocument/2006/relationships/hyperlink" Target="https://www.ncbi.nlm.nih.gov/pubmed/?term=Fishchenko%20IV%5BAuthor%5D&amp;cauthor=true&amp;cauthor_uid=29975831" TargetMode="External"/><Relationship Id="rId23" Type="http://schemas.openxmlformats.org/officeDocument/2006/relationships/hyperlink" Target="https://www.ncbi.nlm.nih.gov/pubmed/?term=Zavodovskyi%20DO%5BAuthor%5D&amp;cauthor=true&amp;cauthor_uid=29975831" TargetMode="External"/><Relationship Id="rId24" Type="http://schemas.openxmlformats.org/officeDocument/2006/relationships/hyperlink" Target="https://www.ncbi.nlm.nih.gov/pubmed/?term=Motuzuyk%20OM%5BAuthor%5D&amp;cauthor=true&amp;cauthor_uid=29975831" TargetMode="External"/><Relationship Id="rId25" Type="http://schemas.openxmlformats.org/officeDocument/2006/relationships/hyperlink" Target="https://www.ncbi.nlm.nih.gov/pubmed/?term=Matvienko%20TY%5BAuthor%5D&amp;cauthor=true&amp;cauthor_uid=29975831" TargetMode="External"/><Relationship Id="rId26" Type="http://schemas.openxmlformats.org/officeDocument/2006/relationships/hyperlink" Target="https://www.ncbi.nlm.nih.gov/pubmed/?term=Nozdrenko%20DN%5BAuthor%5D&amp;cauthor=true&amp;cauthor_uid=29975831" TargetMode="External"/><Relationship Id="rId27" Type="http://schemas.openxmlformats.org/officeDocument/2006/relationships/hyperlink" Target="https://www.ncbi.nlm.nih.gov/pubmed/?term=Troshina%20NA%5BAuthor%5D&amp;cauthor=true&amp;cauthor_uid=26470422" TargetMode="External"/><Relationship Id="rId28" Type="http://schemas.openxmlformats.org/officeDocument/2006/relationships/hyperlink" Target="https://www.ncbi.nlm.nih.gov/pubmed/?term=Dolgushin%20II%5BAuthor%5D&amp;cauthor=true&amp;cauthor_uid=26470422" TargetMode="External"/><Relationship Id="rId29" Type="http://schemas.openxmlformats.org/officeDocument/2006/relationships/hyperlink" Target="https://www.ncbi.nlm.nih.gov/pubmed/?term=Dolgushina%20VF%5BAuthor%5D&amp;cauthor=true&amp;cauthor_uid=2647042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bi.nlm.nih.gov/pubmed/?term=Neumark%20AI%5BAuthor%5D&amp;cauthor=true&amp;cauthor_uid=31535808" TargetMode="External"/><Relationship Id="rId30" Type="http://schemas.openxmlformats.org/officeDocument/2006/relationships/hyperlink" Target="https://www.ncbi.nlm.nih.gov/pubmed/?term=Bakhareva%20LI%5BAuthor%5D&amp;cauthor=true&amp;cauthor_uid=26470422" TargetMode="External"/><Relationship Id="rId31" Type="http://schemas.openxmlformats.org/officeDocument/2006/relationships/hyperlink" Target="https://www.ncbi.nlm.nih.gov/pubmed/?term=Kurnosenko%20IV%5BAuthor%5D&amp;cauthor=true&amp;cauthor_uid=26470422" TargetMode="External"/><Relationship Id="rId32" Type="http://schemas.openxmlformats.org/officeDocument/2006/relationships/hyperlink" Target="https://www.ncbi.nlm.nih.gov/pubmed/?term=Nadvikova%20TV%5BAuthor%5D&amp;cauthor=true&amp;cauthor_uid=26470422" TargetMode="External"/><Relationship Id="rId9" Type="http://schemas.openxmlformats.org/officeDocument/2006/relationships/hyperlink" Target="https://www.ncbi.nlm.nih.gov/pubmed/?term=Plotnikova%20AY%5BAuthor%5D&amp;cauthor=true&amp;cauthor_uid=31535808" TargetMode="External"/><Relationship Id="rId6" Type="http://schemas.openxmlformats.org/officeDocument/2006/relationships/hyperlink" Target="https://www.ncbi.nlm.nih.gov/pubmed/?term=Neymark%20BA%5BAuthor%5D&amp;cauthor=true&amp;cauthor_uid=31535808" TargetMode="External"/><Relationship Id="rId7" Type="http://schemas.openxmlformats.org/officeDocument/2006/relationships/hyperlink" Target="https://www.ncbi.nlm.nih.gov/pubmed/?term=Nozdrachev%20NA%5BAuthor%5D&amp;cauthor=true&amp;cauthor_uid=31535808" TargetMode="External"/><Relationship Id="rId8" Type="http://schemas.openxmlformats.org/officeDocument/2006/relationships/hyperlink" Target="https://www.ncbi.nlm.nih.gov/pubmed/?term=Bryukhanov%20VM%5BAuthor%5D&amp;cauthor=true&amp;cauthor_uid=31535808" TargetMode="External"/><Relationship Id="rId33" Type="http://schemas.openxmlformats.org/officeDocument/2006/relationships/hyperlink" Target="https://www.ncbi.nlm.nih.gov/pubmed/?term=Pochernikov%20DG%5BAuthor%5D&amp;cauthor=true&amp;cauthor_uid=25799732" TargetMode="External"/><Relationship Id="rId34" Type="http://schemas.openxmlformats.org/officeDocument/2006/relationships/hyperlink" Target="https://www.ncbi.nlm.nih.gov/pubmed/?term=Vinokurov%20EIu%5BAuthor%5D&amp;cauthor=true&amp;cauthor_uid=25799732" TargetMode="External"/><Relationship Id="rId35" Type="http://schemas.openxmlformats.org/officeDocument/2006/relationships/hyperlink" Target="https://www.ncbi.nlm.nih.gov/pubmed/?term=Strel%27nikov%20AI%5BAuthor%5D&amp;cauthor=true&amp;cauthor_uid=25799732" TargetMode="External"/><Relationship Id="rId36" Type="http://schemas.openxmlformats.org/officeDocument/2006/relationships/hyperlink" Target="https://www.ncbi.nlm.nih.gov/pubmed/?term=Iakovleva%20LV%5BAuthor%5D&amp;cauthor=true&amp;cauthor_uid=25799732" TargetMode="External"/><Relationship Id="rId10" Type="http://schemas.openxmlformats.org/officeDocument/2006/relationships/hyperlink" Target="https://www.ncbi.nlm.nih.gov/pubmed/?term=Podpruzhnikova%20DA%5BAuthor%5D&amp;cauthor=true&amp;cauthor_uid=31535808" TargetMode="External"/><Relationship Id="rId11" Type="http://schemas.openxmlformats.org/officeDocument/2006/relationships/hyperlink" Target="https://www.ncbi.nlm.nih.gov/pubmed/?term=Nikulina%20AA%5BAuthor%5D&amp;cauthor=true&amp;cauthor_uid=31535808" TargetMode="External"/><Relationship Id="rId12" Type="http://schemas.openxmlformats.org/officeDocument/2006/relationships/hyperlink" Target="https://www.ncbi.nlm.nih.gov/pubmed/31535808" TargetMode="External"/><Relationship Id="rId13" Type="http://schemas.openxmlformats.org/officeDocument/2006/relationships/hyperlink" Target="https://www.ncbi.nlm.nih.gov/pubmed/?term=Kulchavenya%20EV%5BAuthor%5D&amp;cauthor=true&amp;cauthor_uid=30761792" TargetMode="External"/><Relationship Id="rId14" Type="http://schemas.openxmlformats.org/officeDocument/2006/relationships/hyperlink" Target="https://www.ncbi.nlm.nih.gov/pubmed/?term=Shvetsova%20OP%5BAuthor%5D&amp;cauthor=true&amp;cauthor_uid=30761792" TargetMode="External"/><Relationship Id="rId15" Type="http://schemas.openxmlformats.org/officeDocument/2006/relationships/hyperlink" Target="https://www.ncbi.nlm.nih.gov/pubmed/?term=Breusov%20AA%5BAuthor%5D&amp;cauthor=true&amp;cauthor_uid=30761792" TargetMode="External"/><Relationship Id="rId16" Type="http://schemas.openxmlformats.org/officeDocument/2006/relationships/hyperlink" Target="https://www.ncbi.nlm.nih.gov/pubmed/30761792" TargetMode="External"/><Relationship Id="rId17" Type="http://schemas.openxmlformats.org/officeDocument/2006/relationships/hyperlink" Target="https://www.ncbi.nlm.nih.gov/pubmed/?term=Zaitsev%20AV%5BAuthor%5D&amp;cauthor=true&amp;cauthor_uid=28247738" TargetMode="External"/><Relationship Id="rId18" Type="http://schemas.openxmlformats.org/officeDocument/2006/relationships/hyperlink" Target="https://www.ncbi.nlm.nih.gov/pubmed/?term=Pushkar%20DY%5BAuthor%5D&amp;cauthor=true&amp;cauthor_uid=28247738" TargetMode="External"/><Relationship Id="rId19" Type="http://schemas.openxmlformats.org/officeDocument/2006/relationships/hyperlink" Target="https://www.ncbi.nlm.nih.gov/pubmed/?term=Khodyreva%20LA%5BAuthor%5D&amp;cauthor=true&amp;cauthor_uid=28247738" TargetMode="External"/><Relationship Id="rId37" Type="http://schemas.openxmlformats.org/officeDocument/2006/relationships/hyperlink" Target="https://www.ncbi.nlm.nih.gov/pubmed/?term=Avdoshin%20VP%5BAuthor%5D&amp;cauthor=true&amp;cauthor_uid=24159759" TargetMode="External"/><Relationship Id="rId38" Type="http://schemas.openxmlformats.org/officeDocument/2006/relationships/hyperlink" Target="https://www.ncbi.nlm.nih.gov/pubmed/?term=Andriukhin%20MI%5BAuthor%5D&amp;cauthor=true&amp;cauthor_uid=24159759" TargetMode="External"/><Relationship Id="rId39" Type="http://schemas.openxmlformats.org/officeDocument/2006/relationships/hyperlink" Target="https://www.ncbi.nlm.nih.gov/pubmed/?term=Kiriukhina%20TA%5BAuthor%5D&amp;cauthor=true&amp;cauthor_uid=24159759" TargetMode="External"/><Relationship Id="rId40" Type="http://schemas.openxmlformats.org/officeDocument/2006/relationships/hyperlink" Target="https://www.ncbi.nlm.nih.gov/pubmed/?term=Za%C4%ADtseva%20IV%5BAuthor%5D&amp;cauthor=true&amp;cauthor_uid=24159759" TargetMode="External"/><Relationship Id="rId41" Type="http://schemas.openxmlformats.org/officeDocument/2006/relationships/hyperlink" Target="https://www.ncbi.nlm.nih.gov/pubmed/?term=Topol%27nitski%C4%AD%20EB%5BAuthor%5D&amp;cauthor=true&amp;cauthor_uid=22678636" TargetMode="External"/><Relationship Id="rId42" Type="http://schemas.openxmlformats.org/officeDocument/2006/relationships/hyperlink" Target="https://www.ncbi.nlm.nih.gov/pubmed/?term=Dambaev%20GTs%5BAuthor%5D&amp;cauthor=true&amp;cauthor_uid=22678636"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4158</Words>
  <Characters>23702</Characters>
  <Application>Microsoft Macintosh Word</Application>
  <DocSecurity>0</DocSecurity>
  <Lines>197</Lines>
  <Paragraphs>55</Paragraphs>
  <ScaleCrop>false</ScaleCrop>
  <Company/>
  <LinksUpToDate>false</LinksUpToDate>
  <CharactersWithSpaces>27805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Закорина Валентина</dc:creator>
  <cp:keywords/>
  <dc:description/>
  <cp:lastModifiedBy>Закорина Валентина</cp:lastModifiedBy>
  <cp:revision>1</cp:revision>
  <dcterms:created xsi:type="dcterms:W3CDTF">2020-01-15T08:33:00Z</dcterms:created>
  <dcterms:modified xsi:type="dcterms:W3CDTF">2020-01-15T12:10:00Z</dcterms:modified>
</cp:coreProperties>
</file>