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1" w:rsidRDefault="002E7080" w:rsidP="002E7080">
      <w:pPr>
        <w:rPr>
          <w:lang w:val="en-US"/>
        </w:rPr>
      </w:pPr>
      <w:r w:rsidRPr="002E7080">
        <w:rPr>
          <w:lang w:val="en-US"/>
        </w:rPr>
        <w:t>High and Low MolecularWeight Hyaluronic Acid</w:t>
      </w:r>
      <w:r>
        <w:rPr>
          <w:lang w:val="en-US"/>
        </w:rPr>
        <w:t xml:space="preserve"> </w:t>
      </w:r>
      <w:r w:rsidRPr="002E7080">
        <w:rPr>
          <w:lang w:val="en-US"/>
        </w:rPr>
        <w:t>Di</w:t>
      </w:r>
      <w:r>
        <w:rPr>
          <w:lang w:val="en-US"/>
        </w:rPr>
        <w:t>ff</w:t>
      </w:r>
      <w:r w:rsidRPr="002E7080">
        <w:rPr>
          <w:lang w:val="en-US"/>
        </w:rPr>
        <w:t>erentially Influences Oxylipins Synthesis in</w:t>
      </w:r>
      <w:r>
        <w:rPr>
          <w:lang w:val="en-US"/>
        </w:rPr>
        <w:t xml:space="preserve"> </w:t>
      </w:r>
      <w:r w:rsidRPr="002E7080">
        <w:rPr>
          <w:lang w:val="en-US"/>
        </w:rPr>
        <w:t>Course of Neuroinflammation</w:t>
      </w:r>
    </w:p>
    <w:p w:rsidR="00E46D23" w:rsidRPr="000C10A7" w:rsidRDefault="00E46D23" w:rsidP="002E7080">
      <w:pPr>
        <w:rPr>
          <w:lang w:val="en-US"/>
        </w:rPr>
      </w:pPr>
    </w:p>
    <w:p w:rsidR="002E7080" w:rsidRPr="00E46D23" w:rsidRDefault="002E7080" w:rsidP="002E7080">
      <w:pPr>
        <w:rPr>
          <w:b/>
          <w:sz w:val="32"/>
        </w:rPr>
      </w:pPr>
      <w:r w:rsidRPr="00E46D23">
        <w:rPr>
          <w:b/>
          <w:sz w:val="32"/>
        </w:rPr>
        <w:t>Гиалуроновая кислота с высокой и низкой молекулярной массой по-разному влия</w:t>
      </w:r>
      <w:r w:rsidR="000C10A7">
        <w:rPr>
          <w:b/>
          <w:sz w:val="32"/>
        </w:rPr>
        <w:t>ю</w:t>
      </w:r>
      <w:r w:rsidRPr="00E46D23">
        <w:rPr>
          <w:b/>
          <w:sz w:val="32"/>
        </w:rPr>
        <w:t>т на синтез оксилипинов при нейровоспалении</w:t>
      </w:r>
    </w:p>
    <w:p w:rsidR="002E7080" w:rsidRPr="002E7080" w:rsidRDefault="002E7080" w:rsidP="002E7080">
      <w:r w:rsidRPr="002E7080">
        <w:t xml:space="preserve">Дмитрий В. Чистяков </w:t>
      </w:r>
      <w:r w:rsidRPr="002E7080">
        <w:rPr>
          <w:vertAlign w:val="superscript"/>
        </w:rPr>
        <w:t>1,2, *</w:t>
      </w:r>
      <w:r w:rsidRPr="002E7080">
        <w:t xml:space="preserve">, Алина А. Астахова </w:t>
      </w:r>
      <w:r w:rsidRPr="002E7080">
        <w:rPr>
          <w:vertAlign w:val="superscript"/>
        </w:rPr>
        <w:t>1</w:t>
      </w:r>
      <w:r w:rsidRPr="002E7080">
        <w:t xml:space="preserve">, Надежда В. Азбукина </w:t>
      </w:r>
      <w:r w:rsidRPr="002E7080">
        <w:rPr>
          <w:vertAlign w:val="superscript"/>
        </w:rPr>
        <w:t>3</w:t>
      </w:r>
      <w:r w:rsidRPr="002E7080">
        <w:t xml:space="preserve">, Сергей В. Горяинов </w:t>
      </w:r>
      <w:r w:rsidRPr="002E7080">
        <w:rPr>
          <w:vertAlign w:val="superscript"/>
        </w:rPr>
        <w:t>2</w:t>
      </w:r>
      <w:r w:rsidRPr="002E7080">
        <w:t xml:space="preserve">, Виктор В. Чистяков </w:t>
      </w:r>
      <w:r w:rsidRPr="002E7080">
        <w:rPr>
          <w:vertAlign w:val="superscript"/>
        </w:rPr>
        <w:t>2</w:t>
      </w:r>
      <w:r w:rsidRPr="002E7080">
        <w:t xml:space="preserve"> и Марина Г. Сергеева </w:t>
      </w:r>
      <w:r w:rsidRPr="002E7080">
        <w:rPr>
          <w:vertAlign w:val="superscript"/>
        </w:rPr>
        <w:t>1</w:t>
      </w:r>
    </w:p>
    <w:p w:rsidR="002E7080" w:rsidRDefault="002E7080" w:rsidP="00113102">
      <w:pPr>
        <w:spacing w:after="0"/>
      </w:pPr>
      <w:r w:rsidRPr="002E7080">
        <w:rPr>
          <w:vertAlign w:val="superscript"/>
        </w:rPr>
        <w:t>1</w:t>
      </w:r>
      <w:r>
        <w:t xml:space="preserve"> Институт физико-химической биологии им. А.Н. Белозерского МГУ, 119992 Москва, Россия</w:t>
      </w:r>
    </w:p>
    <w:p w:rsidR="002E7080" w:rsidRDefault="002E7080" w:rsidP="00113102">
      <w:pPr>
        <w:spacing w:after="0"/>
      </w:pPr>
      <w:r w:rsidRPr="002E7080">
        <w:rPr>
          <w:vertAlign w:val="superscript"/>
        </w:rPr>
        <w:t>2</w:t>
      </w:r>
      <w:r>
        <w:t xml:space="preserve"> НИЦ РУДН Российский университет дружбы народов (РУДН), 117198 Москва, Россия</w:t>
      </w:r>
    </w:p>
    <w:p w:rsidR="002E7080" w:rsidRPr="002E7080" w:rsidRDefault="002E7080" w:rsidP="00113102">
      <w:pPr>
        <w:spacing w:after="0"/>
      </w:pPr>
      <w:r w:rsidRPr="002E7080">
        <w:rPr>
          <w:vertAlign w:val="superscript"/>
        </w:rPr>
        <w:t>3</w:t>
      </w:r>
      <w:r>
        <w:t xml:space="preserve"> Факультет биоинженерии и биоинформатики, МГУ им. М.В. Ломоносова, 119234 Москва, Россия</w:t>
      </w:r>
    </w:p>
    <w:p w:rsidR="002E7080" w:rsidRPr="002E7080" w:rsidRDefault="002E7080" w:rsidP="00113102">
      <w:pPr>
        <w:spacing w:after="0"/>
      </w:pPr>
      <w:r w:rsidRPr="002E7080">
        <w:t xml:space="preserve">* </w:t>
      </w:r>
      <w:r w:rsidR="00653A67">
        <w:t xml:space="preserve">Контакты: </w:t>
      </w:r>
      <w:r w:rsidRPr="002E7080">
        <w:t>chistyakof@gmail.com; + 7-495-939-4332</w:t>
      </w:r>
    </w:p>
    <w:p w:rsidR="00113102" w:rsidRDefault="00113102" w:rsidP="003721E5"/>
    <w:p w:rsidR="003721E5" w:rsidRDefault="003721E5" w:rsidP="001761DE">
      <w:pPr>
        <w:jc w:val="both"/>
      </w:pPr>
      <w:r>
        <w:t>Резюме: Гиалуроновая кислота (</w:t>
      </w:r>
      <w:r w:rsidR="007754D2">
        <w:t>ГК</w:t>
      </w:r>
      <w:r>
        <w:t xml:space="preserve">), главный гликозаминогликан внеклеточного матрикса, выполняет клеточные сигнальные функции, которые зависят от ее молекулярной массы. Противовоспалительные эффекты для высокомолекулярной </w:t>
      </w:r>
      <w:r w:rsidR="007754D2">
        <w:t xml:space="preserve">ГК </w:t>
      </w:r>
      <w:r>
        <w:t>(</w:t>
      </w:r>
      <w:r w:rsidR="00E46D23">
        <w:t>ВМГК</w:t>
      </w:r>
      <w:r>
        <w:t>) и провоспалительные эффекты для низкомолекулярн</w:t>
      </w:r>
      <w:r w:rsidR="007754D2">
        <w:t>ой ГК</w:t>
      </w:r>
      <w:r>
        <w:t xml:space="preserve"> (</w:t>
      </w:r>
      <w:r w:rsidR="00E46D23">
        <w:t>НМГК</w:t>
      </w:r>
      <w:r>
        <w:t xml:space="preserve">) эффекты были обнаружены для различных миелоидных клеток, включая микроглию. Астроциты </w:t>
      </w:r>
      <w:r w:rsidR="000C10A7">
        <w:t>–</w:t>
      </w:r>
      <w:r>
        <w:t xml:space="preserve"> это клетки эктодермального происхождения, которые играют ключевую роль </w:t>
      </w:r>
      <w:r w:rsidR="000C10A7">
        <w:t>при</w:t>
      </w:r>
      <w:r>
        <w:t xml:space="preserve"> воспалении мозга, но связь между </w:t>
      </w:r>
      <w:r w:rsidR="00113102">
        <w:t>ГК</w:t>
      </w:r>
      <w:r>
        <w:t xml:space="preserve"> с разной молекулярной массой и воспалительным ответом в этих клетках не ясна. Мы тестировали </w:t>
      </w:r>
      <w:r w:rsidR="000C10A7">
        <w:t>влияния</w:t>
      </w:r>
      <w:r>
        <w:t xml:space="preserve"> </w:t>
      </w:r>
      <w:r w:rsidR="00E46D23">
        <w:t>НМГК</w:t>
      </w:r>
      <w:r>
        <w:t xml:space="preserve"> и </w:t>
      </w:r>
      <w:r w:rsidR="00E46D23">
        <w:t>ВМГК</w:t>
      </w:r>
      <w:r>
        <w:t xml:space="preserve"> </w:t>
      </w:r>
      <w:r w:rsidR="000C10A7">
        <w:t>на</w:t>
      </w:r>
      <w:r>
        <w:t xml:space="preserve"> первичны</w:t>
      </w:r>
      <w:r w:rsidR="000C10A7">
        <w:t>е</w:t>
      </w:r>
      <w:r>
        <w:t xml:space="preserve"> астроцит</w:t>
      </w:r>
      <w:r w:rsidR="000C10A7">
        <w:t>ы</w:t>
      </w:r>
      <w:r>
        <w:t xml:space="preserve"> крыс, стимулированны</w:t>
      </w:r>
      <w:r w:rsidR="000C10A7">
        <w:t>е</w:t>
      </w:r>
      <w:r>
        <w:t xml:space="preserve"> Poly: IC (PIC, агонист TLR3) и липополисахаридом (</w:t>
      </w:r>
      <w:r w:rsidR="004A2A7A">
        <w:t>LPS</w:t>
      </w:r>
      <w:r>
        <w:t>, агонист TLR4). Профили оксилипина измеряли с помощью анализа UPLC-MS</w:t>
      </w:r>
      <w:r w:rsidR="001761DE">
        <w:t>/</w:t>
      </w:r>
      <w:r>
        <w:t xml:space="preserve">MS, </w:t>
      </w:r>
      <w:r w:rsidR="000C10A7">
        <w:t>при этом</w:t>
      </w:r>
      <w:r>
        <w:t xml:space="preserve"> были обнаружены метаболиты HDoHE (докозагексаеновой кислоты), -HETE, простагландины (арахидоновой кислоты), DiHOME и HODE (линолевой кислоты). И </w:t>
      </w:r>
      <w:r w:rsidR="00E46D23">
        <w:t>ВМГК</w:t>
      </w:r>
      <w:r>
        <w:t xml:space="preserve">, и </w:t>
      </w:r>
      <w:r w:rsidR="00E46D23">
        <w:t>НМГК</w:t>
      </w:r>
      <w:r>
        <w:t xml:space="preserve"> подавляли метаболизм полиненасыщенных жирных кислот</w:t>
      </w:r>
      <w:r w:rsidR="00060DE0">
        <w:t xml:space="preserve"> (ПНЖК)</w:t>
      </w:r>
      <w:r>
        <w:t>, опосредованный циклооксигеназой</w:t>
      </w:r>
      <w:r w:rsidR="000C10A7">
        <w:t>.</w:t>
      </w:r>
      <w:r>
        <w:t xml:space="preserve"> </w:t>
      </w:r>
      <w:r w:rsidR="00E46D23">
        <w:t>НМГК</w:t>
      </w:r>
      <w:r>
        <w:t xml:space="preserve"> также снижал</w:t>
      </w:r>
      <w:r w:rsidR="000C10A7">
        <w:t>а</w:t>
      </w:r>
      <w:r>
        <w:t xml:space="preserve"> метаболизм жирных кислот, опосредованный липоксигеназой. </w:t>
      </w:r>
      <w:r w:rsidR="000C10A7">
        <w:t>Общий анализ</w:t>
      </w:r>
      <w:r>
        <w:t xml:space="preserve"> данны</w:t>
      </w:r>
      <w:r w:rsidR="000C10A7">
        <w:t>х</w:t>
      </w:r>
      <w:r>
        <w:t xml:space="preserve"> показыва</w:t>
      </w:r>
      <w:r w:rsidR="000C10A7">
        <w:t>е</w:t>
      </w:r>
      <w:r>
        <w:t xml:space="preserve">т, что и </w:t>
      </w:r>
      <w:r w:rsidR="00E46D23">
        <w:t>НМГК</w:t>
      </w:r>
      <w:r>
        <w:t xml:space="preserve">, и </w:t>
      </w:r>
      <w:r w:rsidR="00E46D23">
        <w:t>ВМГК:</w:t>
      </w:r>
      <w:r>
        <w:t xml:space="preserve"> </w:t>
      </w:r>
      <w:r w:rsidR="00E46D23">
        <w:t>1</w:t>
      </w:r>
      <w:r>
        <w:t xml:space="preserve">) влияют сами на цитокины </w:t>
      </w:r>
      <w:r w:rsidR="00CD0F2C">
        <w:t>TNFаА</w:t>
      </w:r>
      <w:r>
        <w:t xml:space="preserve">, IL-6, IL-10, ферменты iNOS, </w:t>
      </w:r>
      <w:r w:rsidR="000C10A7">
        <w:rPr>
          <w:lang w:val="en-US"/>
        </w:rPr>
        <w:t>COX</w:t>
      </w:r>
      <w:r w:rsidR="00CD0F2C">
        <w:t>-2</w:t>
      </w:r>
      <w:r>
        <w:t xml:space="preserve"> и уровни оксилипина во внеклеточной среде культивируемых астроцитов</w:t>
      </w:r>
      <w:r w:rsidR="00E46D23">
        <w:t>;</w:t>
      </w:r>
      <w:r>
        <w:t xml:space="preserve"> </w:t>
      </w:r>
      <w:r w:rsidR="00E46D23">
        <w:t>2</w:t>
      </w:r>
      <w:r>
        <w:t xml:space="preserve">) </w:t>
      </w:r>
      <w:r w:rsidR="000C10A7">
        <w:t xml:space="preserve">при долгосрочном применении </w:t>
      </w:r>
      <w:r w:rsidR="00E46D23">
        <w:t>вызывали</w:t>
      </w:r>
      <w:r>
        <w:t xml:space="preserve"> клеточные адаптации</w:t>
      </w:r>
      <w:r w:rsidR="00E46D23">
        <w:t>;</w:t>
      </w:r>
      <w:r>
        <w:t xml:space="preserve"> </w:t>
      </w:r>
      <w:r w:rsidR="00E46D23">
        <w:t>3</w:t>
      </w:r>
      <w:r>
        <w:t>) модулир</w:t>
      </w:r>
      <w:r w:rsidR="00E46D23">
        <w:t>уют</w:t>
      </w:r>
      <w:r>
        <w:t xml:space="preserve"> пути передачи сигналов TLR4 и TLR3. Эффект </w:t>
      </w:r>
      <w:r w:rsidR="00E46D23">
        <w:t>ВМГК</w:t>
      </w:r>
      <w:r>
        <w:t xml:space="preserve"> и </w:t>
      </w:r>
      <w:r w:rsidR="00E46D23">
        <w:t>НМГК</w:t>
      </w:r>
      <w:r>
        <w:t xml:space="preserve"> преимущественно выявля</w:t>
      </w:r>
      <w:r w:rsidR="000C10A7">
        <w:t>ли</w:t>
      </w:r>
      <w:r>
        <w:t xml:space="preserve"> в </w:t>
      </w:r>
      <w:r w:rsidR="00E46D23">
        <w:t xml:space="preserve">TLR4- и TLR3-модулированных </w:t>
      </w:r>
      <w:r>
        <w:t>ответах, соответственно.</w:t>
      </w:r>
    </w:p>
    <w:p w:rsidR="002E7080" w:rsidRDefault="003721E5" w:rsidP="001761DE">
      <w:pPr>
        <w:jc w:val="both"/>
      </w:pPr>
      <w:r>
        <w:t>Ключевые слова: гиалуроновая кислота; нейровоспаление; циклооксигеназа (СОХ-2); астроциты; эйкозаноиды; оксилипины; интерлейкин 10 (</w:t>
      </w:r>
      <w:r w:rsidR="00D62E05">
        <w:t>IL-10</w:t>
      </w:r>
      <w:r>
        <w:t>); толл-подобные рецепторы (TLR)</w:t>
      </w:r>
    </w:p>
    <w:p w:rsidR="002E7080" w:rsidRDefault="002E7080" w:rsidP="001761DE">
      <w:pPr>
        <w:jc w:val="both"/>
      </w:pPr>
    </w:p>
    <w:p w:rsidR="003721E5" w:rsidRDefault="003721E5" w:rsidP="001761DE">
      <w:pPr>
        <w:jc w:val="both"/>
      </w:pPr>
      <w:r>
        <w:t>1. Введение</w:t>
      </w:r>
    </w:p>
    <w:p w:rsidR="003721E5" w:rsidRPr="002E7080" w:rsidRDefault="003721E5" w:rsidP="001761DE">
      <w:pPr>
        <w:jc w:val="both"/>
      </w:pPr>
      <w:r>
        <w:t>Гликозаминогликан гиалуроновая кислота (</w:t>
      </w:r>
      <w:r w:rsidR="00113102">
        <w:t>ГК</w:t>
      </w:r>
      <w:r>
        <w:t xml:space="preserve">) повсеместно присутствует во внеклеточном матриксе тканей позвоночных. ГК </w:t>
      </w:r>
      <w:r w:rsidR="000C10A7">
        <w:t>выполняет</w:t>
      </w:r>
      <w:r>
        <w:t xml:space="preserve"> разнообразные биологические функции, включая регуляцию клеточной адгезии, пролиферацию клеток, диффузию питательных веществ и факторов роста, а также реакцию на повреждение и воспаление тканей благодаря своей способности взаимодействовать с различными рецепторами и другими </w:t>
      </w:r>
      <w:r w:rsidR="000C10A7">
        <w:t>элементами</w:t>
      </w:r>
      <w:r>
        <w:t xml:space="preserve"> [1]. В последнее время биология </w:t>
      </w:r>
      <w:r w:rsidR="00113102">
        <w:t>ГК</w:t>
      </w:r>
      <w:r>
        <w:t xml:space="preserve"> вызвала особый интерес из-за нового взгляда на роль </w:t>
      </w:r>
      <w:r w:rsidR="00C1425C">
        <w:t>внеклеточного матрикса</w:t>
      </w:r>
      <w:r>
        <w:t xml:space="preserve"> в </w:t>
      </w:r>
      <w:r>
        <w:lastRenderedPageBreak/>
        <w:t xml:space="preserve">различных заболеваниях, таких как остеоартрит, фиброз, рак, генетические заболевания и различные патологии головного мозга [2]. </w:t>
      </w:r>
      <w:r w:rsidR="00C1425C">
        <w:t xml:space="preserve">Внеклеточный матрикс </w:t>
      </w:r>
      <w:r>
        <w:t xml:space="preserve">центральной нервной системы (ЦНС) составляет примерно 20% </w:t>
      </w:r>
      <w:r w:rsidR="000C10A7">
        <w:t xml:space="preserve">от всей </w:t>
      </w:r>
      <w:r>
        <w:t xml:space="preserve">ткани и представлен базальными мембранами, периневральными сетями и межклеточным матриксом [3]. По составу нервной системы </w:t>
      </w:r>
      <w:r w:rsidR="00C1425C">
        <w:t xml:space="preserve">внеклеточный матрикс </w:t>
      </w:r>
      <w:r>
        <w:t>уникален из-за отсутствия белковых компонентов, общих для периферических структур</w:t>
      </w:r>
      <w:r w:rsidR="00C1425C" w:rsidRPr="00C1425C">
        <w:t xml:space="preserve"> </w:t>
      </w:r>
      <w:r w:rsidR="00C1425C">
        <w:t>внеклеточного матрикса</w:t>
      </w:r>
      <w:r>
        <w:t xml:space="preserve">. ГК и протеогликаны являются основными структурными компонентами [3–6], которые образуют сложные сети и организуют гетерогенные популяции нейронов и глиальных клеток в высокоструктурированные функциональные единицы ЦНС. В настоящее время становится все более очевидным, что ГК не просто создает основу для клеточных компонентов ЦНС, но регулирует и настраивает молекулярные процессы, которые происходят на тканевом уровне, играя важную роль в поддержании гомеостаза нервной ткани [7]. Регуляция нейровоспаления имеет большое значение в широком диапазоне функций </w:t>
      </w:r>
      <w:r w:rsidR="00113102">
        <w:t>ГК</w:t>
      </w:r>
      <w:r>
        <w:t>.</w:t>
      </w:r>
    </w:p>
    <w:p w:rsidR="002E7080" w:rsidRPr="002E7080" w:rsidRDefault="003721E5" w:rsidP="001761DE">
      <w:pPr>
        <w:jc w:val="both"/>
      </w:pPr>
      <w:r w:rsidRPr="003721E5">
        <w:t xml:space="preserve">Структура </w:t>
      </w:r>
      <w:r w:rsidR="00113102">
        <w:t>ГК</w:t>
      </w:r>
      <w:r w:rsidRPr="003721E5">
        <w:t xml:space="preserve"> довольно проста</w:t>
      </w:r>
      <w:r w:rsidR="00060DE0">
        <w:t>, она состоит из</w:t>
      </w:r>
      <w:r w:rsidRPr="003721E5">
        <w:t xml:space="preserve"> повторяющи</w:t>
      </w:r>
      <w:r w:rsidR="00060DE0">
        <w:t>х</w:t>
      </w:r>
      <w:r w:rsidRPr="003721E5">
        <w:t>ся дисахаридны</w:t>
      </w:r>
      <w:r w:rsidR="00060DE0">
        <w:t>х</w:t>
      </w:r>
      <w:r w:rsidRPr="003721E5">
        <w:t xml:space="preserve"> цеп</w:t>
      </w:r>
      <w:r w:rsidR="00060DE0">
        <w:t>ей</w:t>
      </w:r>
      <w:r w:rsidRPr="003721E5">
        <w:t xml:space="preserve"> N-ацетилглюкозамина и глюкуроновой кислоты, которые различаются по длине,</w:t>
      </w:r>
      <w:r w:rsidR="00060DE0">
        <w:t xml:space="preserve"> образуя,</w:t>
      </w:r>
      <w:r w:rsidRPr="003721E5">
        <w:t xml:space="preserve"> таким образом, </w:t>
      </w:r>
      <w:r w:rsidR="00060DE0">
        <w:t xml:space="preserve">формы ГК </w:t>
      </w:r>
      <w:r w:rsidRPr="003721E5">
        <w:t>с низким молекулярным весом (</w:t>
      </w:r>
      <w:r w:rsidR="00E46D23">
        <w:t>НМГК</w:t>
      </w:r>
      <w:r w:rsidRPr="003721E5">
        <w:t xml:space="preserve">, </w:t>
      </w:r>
      <w:r w:rsidR="00C1425C">
        <w:t>ср.мол.масса</w:t>
      </w:r>
      <w:r w:rsidRPr="003721E5">
        <w:t xml:space="preserve"> 10–500 кДа) и высок</w:t>
      </w:r>
      <w:r w:rsidR="00060DE0">
        <w:t>им</w:t>
      </w:r>
      <w:r w:rsidRPr="003721E5">
        <w:t xml:space="preserve"> (</w:t>
      </w:r>
      <w:r w:rsidR="00E46D23">
        <w:t>ВМГК</w:t>
      </w:r>
      <w:r w:rsidRPr="003721E5">
        <w:t xml:space="preserve">, </w:t>
      </w:r>
      <w:r w:rsidR="00C1425C">
        <w:t>ср.мол.масса</w:t>
      </w:r>
      <w:r w:rsidR="00C1425C" w:rsidRPr="003721E5">
        <w:t xml:space="preserve"> </w:t>
      </w:r>
      <w:r w:rsidRPr="003721E5">
        <w:t>&gt; 500 кДа) [8]. Несколько доказатель</w:t>
      </w:r>
      <w:r w:rsidR="00060DE0">
        <w:t>ных исследований</w:t>
      </w:r>
      <w:r w:rsidRPr="003721E5">
        <w:t xml:space="preserve"> указывают на то, что </w:t>
      </w:r>
      <w:r w:rsidR="00113102">
        <w:t>ГК</w:t>
      </w:r>
      <w:r w:rsidRPr="003721E5">
        <w:t xml:space="preserve"> позволяет модулировать воспаление в ЦНС. В ряде работ ремоделирование гиалуроновой кислоты связывают с нейровоспалением in vitro и in vivo [9–11]. Накопление </w:t>
      </w:r>
      <w:r w:rsidR="00113102">
        <w:t>ГК</w:t>
      </w:r>
      <w:r w:rsidRPr="003721E5">
        <w:t xml:space="preserve"> в очагах демиелинизированного рассеянного склероза, как было показано, усиливает воспаление за счет активации толл-подобных рецепторов (TLR) 2 и 4 в иммунных клетках, в то время как предотвращение этого накопления уменьшает повреждение в аутоиммунной модели энцефаломиелита [12]. Более того, было показано, что </w:t>
      </w:r>
      <w:r w:rsidR="00E46D23">
        <w:t>НМГК</w:t>
      </w:r>
      <w:r w:rsidRPr="003721E5">
        <w:t xml:space="preserve"> индуцирует пролиферацию астроцитов, главный </w:t>
      </w:r>
      <w:r w:rsidR="00060DE0">
        <w:t>этап</w:t>
      </w:r>
      <w:r w:rsidRPr="003721E5">
        <w:t xml:space="preserve"> реактивации глии [13], в то время как </w:t>
      </w:r>
      <w:r w:rsidR="00E46D23">
        <w:t>ВМГК</w:t>
      </w:r>
      <w:r w:rsidRPr="003721E5">
        <w:t xml:space="preserve"> подавляет образование глиальных рубцов [14]. </w:t>
      </w:r>
      <w:r w:rsidR="00060DE0">
        <w:t>Кроме</w:t>
      </w:r>
      <w:r w:rsidRPr="003721E5">
        <w:t xml:space="preserve"> того, </w:t>
      </w:r>
      <w:r w:rsidR="00E46D23">
        <w:t>ВМГК</w:t>
      </w:r>
      <w:r w:rsidRPr="003721E5">
        <w:t xml:space="preserve"> снижает продукцию IL-1, IL-6, </w:t>
      </w:r>
      <w:r w:rsidR="00CD0F2C">
        <w:t>TNFаА</w:t>
      </w:r>
      <w:r w:rsidRPr="003721E5">
        <w:t xml:space="preserve"> и оксида азота в клетках микроглии, подвергнутых воздействию липополисахарида (</w:t>
      </w:r>
      <w:r w:rsidR="004A2A7A">
        <w:t>LPS</w:t>
      </w:r>
      <w:r w:rsidRPr="003721E5">
        <w:t xml:space="preserve">) [15]. Примечательно, что микроглиальные клетки являются клетками иммунного происхождения, тогда как астроциты имеют эктодермальное происхождение и отличаются от миелоидных клеток </w:t>
      </w:r>
      <w:r w:rsidR="00060DE0">
        <w:t xml:space="preserve">по </w:t>
      </w:r>
      <w:r w:rsidRPr="003721E5">
        <w:t>нескольки</w:t>
      </w:r>
      <w:r w:rsidR="00060DE0">
        <w:t>м</w:t>
      </w:r>
      <w:r w:rsidRPr="003721E5">
        <w:t xml:space="preserve"> основны</w:t>
      </w:r>
      <w:r w:rsidR="00060DE0">
        <w:t>м</w:t>
      </w:r>
      <w:r w:rsidRPr="003721E5">
        <w:t xml:space="preserve"> регуляторны</w:t>
      </w:r>
      <w:r w:rsidR="00060DE0">
        <w:t>м</w:t>
      </w:r>
      <w:r w:rsidRPr="003721E5">
        <w:t xml:space="preserve"> </w:t>
      </w:r>
      <w:r w:rsidR="00060DE0">
        <w:t>функциям</w:t>
      </w:r>
      <w:r w:rsidRPr="003721E5">
        <w:t xml:space="preserve"> [16,17]. Важно отметить, что астроциты имеют широко развитую сигнальную систему TLR, включая TLR2, TLR4, TLR5, TLR3, CD44 [18,19]. </w:t>
      </w:r>
      <w:r w:rsidR="00060DE0">
        <w:t xml:space="preserve">Объединенные </w:t>
      </w:r>
      <w:r w:rsidRPr="003721E5">
        <w:t xml:space="preserve">данные указывают на то, что </w:t>
      </w:r>
      <w:r w:rsidR="00113102">
        <w:t>ГК</w:t>
      </w:r>
      <w:r w:rsidRPr="003721E5">
        <w:t xml:space="preserve"> может представлять собой важный регулятор воспалительных процессов, достаточно мощный, чтобы инициировать, смягчать или точно настраивать ответы в центральной нервной ткани; тем не менее, этот вопрос еще предстоит изучить. В рамках </w:t>
      </w:r>
      <w:r w:rsidR="00060DE0">
        <w:t>данного</w:t>
      </w:r>
      <w:r w:rsidRPr="003721E5">
        <w:t xml:space="preserve"> исследования мы предположили, что и </w:t>
      </w:r>
      <w:r w:rsidR="00E46D23">
        <w:t>НМГК</w:t>
      </w:r>
      <w:r w:rsidRPr="003721E5">
        <w:t xml:space="preserve">, и </w:t>
      </w:r>
      <w:r w:rsidR="00E46D23">
        <w:t>ВМГК</w:t>
      </w:r>
      <w:r w:rsidRPr="003721E5">
        <w:t xml:space="preserve"> могут инициировать и</w:t>
      </w:r>
      <w:r w:rsidR="001761DE">
        <w:t>/</w:t>
      </w:r>
      <w:r w:rsidRPr="003721E5">
        <w:t xml:space="preserve">или изменять воспалительные реакции, опосредованные астроглией. Чтобы проверить это предположение, мы </w:t>
      </w:r>
      <w:r w:rsidR="00060DE0">
        <w:t>получили</w:t>
      </w:r>
      <w:r w:rsidRPr="003721E5">
        <w:t xml:space="preserve"> смешан</w:t>
      </w:r>
      <w:r w:rsidR="00060DE0">
        <w:t>н</w:t>
      </w:r>
      <w:r w:rsidRPr="003721E5">
        <w:t xml:space="preserve">ые глиальные культуры, обогащенные астроцитами, </w:t>
      </w:r>
      <w:r w:rsidR="00E46D23">
        <w:t>НМГК</w:t>
      </w:r>
      <w:r w:rsidRPr="003721E5">
        <w:t xml:space="preserve"> и </w:t>
      </w:r>
      <w:r w:rsidR="00E46D23">
        <w:t>ВМГК</w:t>
      </w:r>
      <w:r w:rsidRPr="003721E5">
        <w:t xml:space="preserve">, с агонистами TLR3 и TLR4 или без них, и проанализировали экспрессию провоспалительного маркера </w:t>
      </w:r>
      <w:r w:rsidR="00CD0F2C">
        <w:t>TNFа</w:t>
      </w:r>
      <w:r w:rsidRPr="003721E5">
        <w:t xml:space="preserve">, противовоспалительного маркера IL-10 и высвобождение липидных медиаторов, оксилипинов, участвующих в воспалении. Оксилипины </w:t>
      </w:r>
      <w:r w:rsidR="00060DE0">
        <w:t>–</w:t>
      </w:r>
      <w:r w:rsidRPr="003721E5">
        <w:t xml:space="preserve"> это липидные сигнальные молекулы, образующиеся в результате мультиферментных реакций</w:t>
      </w:r>
      <w:r w:rsidR="00060DE0">
        <w:t>,</w:t>
      </w:r>
      <w:r w:rsidRPr="003721E5">
        <w:t xml:space="preserve"> полученные в результате окисления полиненасыщенных жирных кислот</w:t>
      </w:r>
      <w:r w:rsidR="00060DE0">
        <w:t xml:space="preserve"> (ПНЖК)</w:t>
      </w:r>
      <w:r w:rsidRPr="003721E5">
        <w:t xml:space="preserve"> [20]. Показана их возможная роль в регуляции воспаления, но мало что известно об их участии в </w:t>
      </w:r>
      <w:r w:rsidR="00113102">
        <w:t>ГК</w:t>
      </w:r>
      <w:r w:rsidRPr="003721E5">
        <w:t xml:space="preserve">-опосредованном клеточном ответе. Наши данные показывают, что как </w:t>
      </w:r>
      <w:r w:rsidR="00E46D23">
        <w:t>НМ</w:t>
      </w:r>
      <w:r w:rsidRPr="003721E5">
        <w:t xml:space="preserve">, так и </w:t>
      </w:r>
      <w:r w:rsidR="00E46D23">
        <w:t>ВМ</w:t>
      </w:r>
      <w:r w:rsidRPr="003721E5">
        <w:t xml:space="preserve"> экзогенн</w:t>
      </w:r>
      <w:r w:rsidR="005E55A4">
        <w:t>ая</w:t>
      </w:r>
      <w:r w:rsidRPr="003721E5">
        <w:t xml:space="preserve"> </w:t>
      </w:r>
      <w:r w:rsidR="00113102">
        <w:t>ГК</w:t>
      </w:r>
      <w:r w:rsidR="00060DE0">
        <w:t>,</w:t>
      </w:r>
      <w:r w:rsidRPr="003721E5">
        <w:t xml:space="preserve"> усилива</w:t>
      </w:r>
      <w:r w:rsidR="00060DE0">
        <w:t>ю</w:t>
      </w:r>
      <w:r w:rsidRPr="003721E5">
        <w:t xml:space="preserve">т синтез IL-10 на уровне белка и на уровне мРНК при стимуляции агонистами TLR3 и TLR4. В то же время </w:t>
      </w:r>
      <w:r w:rsidR="00113102">
        <w:t>ГК</w:t>
      </w:r>
      <w:r w:rsidRPr="003721E5">
        <w:t xml:space="preserve"> не влияет на экспрессию провоспалительного цитокина </w:t>
      </w:r>
      <w:r w:rsidR="00CD0F2C">
        <w:t>TNFа</w:t>
      </w:r>
      <w:r w:rsidRPr="003721E5">
        <w:t xml:space="preserve"> в </w:t>
      </w:r>
      <w:r w:rsidR="004A2A7A">
        <w:t>LPS</w:t>
      </w:r>
      <w:r w:rsidRPr="003721E5">
        <w:t>- и PIC-стимулированных клетках. Кроме того, тестируемая</w:t>
      </w:r>
      <w:r w:rsidR="005E55A4">
        <w:t xml:space="preserve"> ГК</w:t>
      </w:r>
      <w:r w:rsidRPr="003721E5">
        <w:t xml:space="preserve"> выполняет различные действия по индуцированной стимулами экспрессии </w:t>
      </w:r>
      <w:r w:rsidR="00CD0F2C">
        <w:t>TNFа</w:t>
      </w:r>
      <w:r w:rsidRPr="003721E5">
        <w:t xml:space="preserve">. Следовательно, исследуемые вещества не могут быть легко отнесены к про- или </w:t>
      </w:r>
      <w:r w:rsidRPr="003721E5">
        <w:lastRenderedPageBreak/>
        <w:t xml:space="preserve">противовоспалительным модуляторам в астроцитах. </w:t>
      </w:r>
      <w:r w:rsidR="00060DE0">
        <w:t>М</w:t>
      </w:r>
      <w:r w:rsidRPr="003721E5">
        <w:t xml:space="preserve">ы </w:t>
      </w:r>
      <w:r w:rsidR="00060DE0">
        <w:t xml:space="preserve">также </w:t>
      </w:r>
      <w:r w:rsidRPr="003721E5">
        <w:t xml:space="preserve">обнаружили, что и </w:t>
      </w:r>
      <w:r w:rsidR="00E46D23">
        <w:t>ВМГК</w:t>
      </w:r>
      <w:r w:rsidRPr="003721E5">
        <w:t xml:space="preserve">, и </w:t>
      </w:r>
      <w:r w:rsidR="00E46D23">
        <w:t>НМГК</w:t>
      </w:r>
      <w:r w:rsidRPr="003721E5">
        <w:t xml:space="preserve"> снижают синтез оксилипина, активируемый стимулами, посредством модуляции циклооксигеназного (COX) и липоксигеназного (LOX) путей метаболизма </w:t>
      </w:r>
      <w:r w:rsidR="004A2A7A">
        <w:t>ПНЖК</w:t>
      </w:r>
      <w:r w:rsidRPr="003721E5">
        <w:t>.</w:t>
      </w:r>
    </w:p>
    <w:p w:rsidR="00ED3A79" w:rsidRDefault="00ED3A79" w:rsidP="001761DE">
      <w:pPr>
        <w:jc w:val="both"/>
      </w:pPr>
    </w:p>
    <w:p w:rsidR="003721E5" w:rsidRDefault="003721E5" w:rsidP="001761DE">
      <w:pPr>
        <w:jc w:val="both"/>
      </w:pPr>
      <w:r>
        <w:t>2. Результаты</w:t>
      </w:r>
    </w:p>
    <w:p w:rsidR="005E55A4" w:rsidRDefault="003721E5" w:rsidP="001761DE">
      <w:pPr>
        <w:jc w:val="both"/>
      </w:pPr>
      <w:r>
        <w:t xml:space="preserve">2.1. Модуляция экспрессии провоспалительного цитокина </w:t>
      </w:r>
      <w:r w:rsidR="00CD0F2C">
        <w:t>TNFа</w:t>
      </w:r>
      <w:r>
        <w:t xml:space="preserve"> </w:t>
      </w:r>
      <w:r w:rsidR="0087752B">
        <w:t xml:space="preserve">в присутствии </w:t>
      </w:r>
      <w:r w:rsidR="00E46D23">
        <w:t>ВМГК</w:t>
      </w:r>
      <w:r>
        <w:t xml:space="preserve"> и </w:t>
      </w:r>
      <w:r w:rsidR="00E46D23">
        <w:t>НМГК</w:t>
      </w:r>
    </w:p>
    <w:p w:rsidR="002E7080" w:rsidRDefault="003721E5" w:rsidP="001761DE">
      <w:pPr>
        <w:jc w:val="both"/>
      </w:pPr>
      <w:r>
        <w:t xml:space="preserve">Ранее мы показали, что стимуляция </w:t>
      </w:r>
      <w:r w:rsidR="004A2A7A">
        <w:t>LPS</w:t>
      </w:r>
      <w:r>
        <w:t xml:space="preserve"> (агонист TLR4) или PIC (агонист TLR3) индуцирует экспрессию </w:t>
      </w:r>
      <w:r w:rsidR="00CD0F2C">
        <w:t>TNFа</w:t>
      </w:r>
      <w:r>
        <w:t xml:space="preserve"> в астроцитах [21]. Таким образом, мы оценили влияние вариации концентраций и времени обработки </w:t>
      </w:r>
      <w:r w:rsidR="00E46D23">
        <w:t>ВМГК</w:t>
      </w:r>
      <w:r>
        <w:t xml:space="preserve"> и </w:t>
      </w:r>
      <w:r w:rsidR="00E46D23">
        <w:t>НМГК</w:t>
      </w:r>
      <w:r>
        <w:t xml:space="preserve"> на </w:t>
      </w:r>
      <w:r w:rsidR="004A2A7A">
        <w:t>LPS</w:t>
      </w:r>
      <w:r>
        <w:t xml:space="preserve">- и PIC-индуцированную экспрессию </w:t>
      </w:r>
      <w:r w:rsidR="00CD0F2C">
        <w:t>TNFа</w:t>
      </w:r>
      <w:r>
        <w:t xml:space="preserve"> (рис. 1).</w:t>
      </w:r>
    </w:p>
    <w:p w:rsidR="000C061D" w:rsidRDefault="000C061D" w:rsidP="001761DE">
      <w:pPr>
        <w:jc w:val="both"/>
      </w:pPr>
      <w:r>
        <w:t xml:space="preserve">В первой серии экспериментов оценивали эффекты краткосрочного </w:t>
      </w:r>
      <w:r w:rsidR="005E55A4">
        <w:t>внесения</w:t>
      </w:r>
      <w:r>
        <w:t xml:space="preserve"> ГК с различными концентрациями (рис. 1а, б). </w:t>
      </w:r>
      <w:r w:rsidR="00113102">
        <w:t>ГК</w:t>
      </w:r>
      <w:r>
        <w:t xml:space="preserve"> добавляли в течение 30 минут, затем добавляли </w:t>
      </w:r>
      <w:r w:rsidR="004A2A7A">
        <w:t>LPS</w:t>
      </w:r>
      <w:r>
        <w:t xml:space="preserve"> (100 нг</w:t>
      </w:r>
      <w:r w:rsidR="001761DE">
        <w:t>/</w:t>
      </w:r>
      <w:r>
        <w:t xml:space="preserve">мл) или PIC (10 </w:t>
      </w:r>
      <w:r w:rsidR="00ED3A79">
        <w:t>мк</w:t>
      </w:r>
      <w:r>
        <w:t>г</w:t>
      </w:r>
      <w:r w:rsidR="001761DE">
        <w:t>/</w:t>
      </w:r>
      <w:r>
        <w:t xml:space="preserve">мл) </w:t>
      </w:r>
      <w:r w:rsidR="005E55A4">
        <w:t>на</w:t>
      </w:r>
      <w:r>
        <w:t xml:space="preserve"> 4 час</w:t>
      </w:r>
      <w:r w:rsidR="005E55A4">
        <w:t>а</w:t>
      </w:r>
      <w:r>
        <w:t xml:space="preserve">. Уровни мРНК </w:t>
      </w:r>
      <w:r w:rsidR="00CD0F2C">
        <w:t>TNFа</w:t>
      </w:r>
      <w:r>
        <w:t xml:space="preserve"> в присутствии агонистов TLR без добавления </w:t>
      </w:r>
      <w:r w:rsidR="005E55A4">
        <w:t>ГК</w:t>
      </w:r>
      <w:r>
        <w:t xml:space="preserve"> принимали за единицу. Мы обнаружили, что </w:t>
      </w:r>
      <w:r w:rsidR="00E46D23">
        <w:t>НМГК</w:t>
      </w:r>
      <w:r>
        <w:t xml:space="preserve"> в концентрациях 10 и 100 мкг</w:t>
      </w:r>
      <w:r w:rsidR="001761DE">
        <w:t>/</w:t>
      </w:r>
      <w:r>
        <w:t xml:space="preserve">мл подавляет </w:t>
      </w:r>
      <w:r w:rsidR="004A2A7A">
        <w:t>LPS</w:t>
      </w:r>
      <w:r>
        <w:t xml:space="preserve">-индуцированную мРНК </w:t>
      </w:r>
      <w:r w:rsidR="00CD0F2C">
        <w:t>TNFа</w:t>
      </w:r>
      <w:r>
        <w:t xml:space="preserve">, в то время как </w:t>
      </w:r>
      <w:r w:rsidR="00E46D23">
        <w:t>ВМГК</w:t>
      </w:r>
      <w:r>
        <w:t xml:space="preserve"> не влияет ни на одну из тестируемых концентраций (рис. 1a). </w:t>
      </w:r>
      <w:r w:rsidR="00ED3A79">
        <w:t>Исследуемое</w:t>
      </w:r>
      <w:r>
        <w:t xml:space="preserve"> </w:t>
      </w:r>
      <w:r w:rsidR="005E55A4">
        <w:t>внесение</w:t>
      </w:r>
      <w:r>
        <w:t xml:space="preserve"> </w:t>
      </w:r>
      <w:r w:rsidR="005E55A4">
        <w:t>ГК</w:t>
      </w:r>
      <w:r>
        <w:t xml:space="preserve"> не модулировало PIC-индуцированную мРНК </w:t>
      </w:r>
      <w:r w:rsidR="00CD0F2C">
        <w:t>TNFа</w:t>
      </w:r>
      <w:r>
        <w:t xml:space="preserve"> (рис. 1b). На уровне белка эти эффекты </w:t>
      </w:r>
      <w:r w:rsidR="00113102">
        <w:t>ГК</w:t>
      </w:r>
      <w:r>
        <w:t xml:space="preserve"> были заметны только в отношении индуцированной </w:t>
      </w:r>
      <w:r w:rsidR="004A2A7A">
        <w:t>LPS</w:t>
      </w:r>
      <w:r>
        <w:t xml:space="preserve"> активации в сочетании с 450 мкг</w:t>
      </w:r>
      <w:r w:rsidR="001761DE">
        <w:t>/</w:t>
      </w:r>
      <w:r>
        <w:t xml:space="preserve">мл </w:t>
      </w:r>
      <w:r w:rsidR="00E46D23">
        <w:t>ВМГК</w:t>
      </w:r>
      <w:r>
        <w:t xml:space="preserve"> (рис. 1c).</w:t>
      </w:r>
    </w:p>
    <w:p w:rsidR="000C061D" w:rsidRDefault="000C061D" w:rsidP="001761DE">
      <w:pPr>
        <w:jc w:val="both"/>
      </w:pPr>
      <w:r>
        <w:t xml:space="preserve">Вторая серия экспериментов позволила нам оценить влияние длительного (48 ч) </w:t>
      </w:r>
      <w:r w:rsidR="005E55A4">
        <w:t>присутствия</w:t>
      </w:r>
      <w:r>
        <w:t xml:space="preserve"> </w:t>
      </w:r>
      <w:r w:rsidR="00113102">
        <w:t>ГК</w:t>
      </w:r>
      <w:r>
        <w:t xml:space="preserve"> на </w:t>
      </w:r>
      <w:r w:rsidR="004A2A7A">
        <w:t>LPS</w:t>
      </w:r>
      <w:r>
        <w:t xml:space="preserve">- или PIC-индуцированные ответы. В предварительных экспериментах мы оценили возможные изменения в морфологии астроцитов, подвергшихся воздействию </w:t>
      </w:r>
      <w:r w:rsidR="00E46D23">
        <w:t>ВМГК</w:t>
      </w:r>
      <w:r>
        <w:t xml:space="preserve"> или </w:t>
      </w:r>
      <w:r w:rsidR="00E46D23">
        <w:t>НМГК</w:t>
      </w:r>
      <w:r>
        <w:t xml:space="preserve"> в течение 48 часов с помощью флуоресцентной микроскопии, и не наблюдали видимых различий между клетками (Рис</w:t>
      </w:r>
      <w:r w:rsidR="0087752B">
        <w:t>.</w:t>
      </w:r>
      <w:r>
        <w:t xml:space="preserve"> S1). Мы также предположили возможность того, что формы </w:t>
      </w:r>
      <w:r w:rsidR="00113102">
        <w:t>ГК</w:t>
      </w:r>
      <w:r>
        <w:t xml:space="preserve"> могли модулировать экспрессию мРНК </w:t>
      </w:r>
      <w:r w:rsidR="00CD0F2C">
        <w:t>TNFа</w:t>
      </w:r>
      <w:r>
        <w:t xml:space="preserve"> в нестимулированных клетках в условиях, включающих краткосрочное и долгосрочное воздействие (рис. 1d). Кратковременная инкубация с </w:t>
      </w:r>
      <w:r w:rsidR="00E46D23">
        <w:t>НМГК</w:t>
      </w:r>
      <w:r>
        <w:t xml:space="preserve"> или </w:t>
      </w:r>
      <w:r w:rsidR="00E46D23">
        <w:t>ВМГК</w:t>
      </w:r>
      <w:r>
        <w:t xml:space="preserve"> индуцировала двукратное повышение экспрессии </w:t>
      </w:r>
      <w:r w:rsidR="00CD0F2C">
        <w:t>TNFа</w:t>
      </w:r>
      <w:r>
        <w:t xml:space="preserve"> (рис. 1d). Длительная инкубация с об</w:t>
      </w:r>
      <w:r w:rsidR="0087752B">
        <w:t>е</w:t>
      </w:r>
      <w:r>
        <w:t xml:space="preserve">ими протестированными </w:t>
      </w:r>
      <w:r w:rsidR="00113102">
        <w:t>ГК</w:t>
      </w:r>
      <w:r>
        <w:t xml:space="preserve"> не модулировала уровни мРНК </w:t>
      </w:r>
      <w:r w:rsidR="00CD0F2C">
        <w:t>TNFа</w:t>
      </w:r>
      <w:r>
        <w:t xml:space="preserve">, и клетки вернулись к исходным уровням мРНК </w:t>
      </w:r>
      <w:r w:rsidR="00CD0F2C">
        <w:t>TNFа</w:t>
      </w:r>
      <w:r>
        <w:t xml:space="preserve"> (рис. 1d). После 48-часовой экспозиции с ГК культуральную среду меняли, и клетки стимулировали </w:t>
      </w:r>
      <w:r w:rsidR="004A2A7A">
        <w:t>LPS</w:t>
      </w:r>
      <w:r>
        <w:t xml:space="preserve"> (100 нг</w:t>
      </w:r>
      <w:r w:rsidR="001761DE">
        <w:t>/</w:t>
      </w:r>
      <w:r>
        <w:t xml:space="preserve">мл) или PIC (10 </w:t>
      </w:r>
      <w:r w:rsidR="00ED3A79">
        <w:t>мк</w:t>
      </w:r>
      <w:r>
        <w:t>г</w:t>
      </w:r>
      <w:r w:rsidR="001761DE">
        <w:t>/</w:t>
      </w:r>
      <w:r>
        <w:t xml:space="preserve">мл) в течение 4 часов. Уровни мРНК </w:t>
      </w:r>
      <w:r w:rsidR="00CD0F2C">
        <w:t>TNFа</w:t>
      </w:r>
      <w:r>
        <w:t xml:space="preserve"> в присутствии агонистов TLR без добавления </w:t>
      </w:r>
      <w:r w:rsidR="0087752B">
        <w:t>ГК</w:t>
      </w:r>
      <w:r>
        <w:t xml:space="preserve"> были приняты за единицу (рис. 1e, f). Долгосрочные инкубации с </w:t>
      </w:r>
      <w:r w:rsidR="00E46D23">
        <w:t>НМГК</w:t>
      </w:r>
      <w:r>
        <w:t xml:space="preserve"> не влияли на </w:t>
      </w:r>
      <w:r w:rsidR="004A2A7A">
        <w:t>LPS</w:t>
      </w:r>
      <w:r>
        <w:t xml:space="preserve">-индуцированную экспрессию мРНК </w:t>
      </w:r>
      <w:r w:rsidR="00CD0F2C">
        <w:t>TNFа</w:t>
      </w:r>
      <w:r>
        <w:t xml:space="preserve"> (рис</w:t>
      </w:r>
      <w:r w:rsidR="0087752B">
        <w:t>.</w:t>
      </w:r>
      <w:r>
        <w:t xml:space="preserve"> 1e), но ингибировали PIC-индуцированную активацию транскрипта (рис</w:t>
      </w:r>
      <w:r w:rsidR="0087752B">
        <w:t>.</w:t>
      </w:r>
      <w:r>
        <w:t xml:space="preserve"> 1f), в то время как снижение уровней мРНК коррелировало со снижением уровней белка. (</w:t>
      </w:r>
      <w:r w:rsidR="0087752B">
        <w:t>р</w:t>
      </w:r>
      <w:r>
        <w:t>ис</w:t>
      </w:r>
      <w:r w:rsidR="0087752B">
        <w:t>.</w:t>
      </w:r>
      <w:r>
        <w:t xml:space="preserve"> 1c).</w:t>
      </w:r>
    </w:p>
    <w:p w:rsidR="000C061D" w:rsidRDefault="000C061D" w:rsidP="001761DE">
      <w:pPr>
        <w:jc w:val="both"/>
      </w:pPr>
      <w:r>
        <w:t xml:space="preserve">Чтобы оценить, являются ли эффекты </w:t>
      </w:r>
      <w:r w:rsidR="00E46D23">
        <w:t>НМГК</w:t>
      </w:r>
      <w:r>
        <w:t xml:space="preserve"> и </w:t>
      </w:r>
      <w:r w:rsidR="00E46D23">
        <w:t>ВМГК</w:t>
      </w:r>
      <w:r>
        <w:t xml:space="preserve"> на </w:t>
      </w:r>
      <w:r w:rsidR="00CD0F2C">
        <w:t>TNFа</w:t>
      </w:r>
      <w:r>
        <w:t xml:space="preserve"> специфичными для этого цитокина, мы сравнили их влияние на экспрессию других воспалительных маркеров</w:t>
      </w:r>
      <w:r w:rsidR="0087752B">
        <w:t xml:space="preserve"> –</w:t>
      </w:r>
      <w:r>
        <w:t xml:space="preserve"> iNOS (индуцибельная синтаза оксида азота), IL-6 (интерлейкин 6). Клетки обрабатывали 450 мкг</w:t>
      </w:r>
      <w:r w:rsidR="001761DE">
        <w:t>/</w:t>
      </w:r>
      <w:r>
        <w:t xml:space="preserve">мл </w:t>
      </w:r>
      <w:r w:rsidR="00E46D23">
        <w:t>ВМГК</w:t>
      </w:r>
      <w:r>
        <w:t xml:space="preserve"> или </w:t>
      </w:r>
      <w:r w:rsidR="00E46D23">
        <w:t>НМГК</w:t>
      </w:r>
      <w:r>
        <w:t xml:space="preserve"> в тех же экспериментальных процедурах, что и для тестирования </w:t>
      </w:r>
      <w:r w:rsidR="00CD0F2C">
        <w:t>TNFа</w:t>
      </w:r>
      <w:r>
        <w:t xml:space="preserve"> (рис. 1g, h). Модуляция экспрессии iNOS была такой же, как и для </w:t>
      </w:r>
      <w:r w:rsidR="00CD0F2C">
        <w:t>TNFа</w:t>
      </w:r>
      <w:r>
        <w:t xml:space="preserve"> (рисунок 1g). Долгосрочные инкубации с </w:t>
      </w:r>
      <w:r w:rsidR="00E46D23">
        <w:t>ВМГК</w:t>
      </w:r>
      <w:r>
        <w:t xml:space="preserve"> </w:t>
      </w:r>
      <w:r w:rsidR="00ED3A79">
        <w:t>вызывают</w:t>
      </w:r>
      <w:r>
        <w:t xml:space="preserve"> экспрессию </w:t>
      </w:r>
      <w:r w:rsidR="004A2A7A">
        <w:t>LPS</w:t>
      </w:r>
      <w:r>
        <w:t xml:space="preserve">-индуцированного гена, тогда как длительные инкубации с </w:t>
      </w:r>
      <w:r w:rsidR="00E46D23">
        <w:t>НМГК</w:t>
      </w:r>
      <w:r>
        <w:t xml:space="preserve"> снижают экспрессию PIC-индуцированного гена. Кратковременная инкубация с </w:t>
      </w:r>
      <w:r w:rsidR="00E46D23">
        <w:t>ВМГК</w:t>
      </w:r>
      <w:r>
        <w:t xml:space="preserve"> снижала </w:t>
      </w:r>
      <w:r w:rsidR="004A2A7A">
        <w:t>LPS</w:t>
      </w:r>
      <w:r>
        <w:t>-индуцированную экспрессию IL-6 (рис. 1h).</w:t>
      </w:r>
    </w:p>
    <w:p w:rsidR="000C061D" w:rsidRDefault="00254932" w:rsidP="001761DE">
      <w:pPr>
        <w:jc w:val="both"/>
      </w:pPr>
      <w:r>
        <w:t>Объединенные</w:t>
      </w:r>
      <w:r w:rsidR="000C061D">
        <w:t xml:space="preserve"> данные показывают, что мы не можем приписать противовоспалительное действие </w:t>
      </w:r>
      <w:r w:rsidR="00E46D23">
        <w:t>ВМГК</w:t>
      </w:r>
      <w:r w:rsidR="000C061D">
        <w:t xml:space="preserve">, а также не можем ссылаться на </w:t>
      </w:r>
      <w:r w:rsidR="00E46D23">
        <w:t>НМГК</w:t>
      </w:r>
      <w:r>
        <w:t>,</w:t>
      </w:r>
      <w:r w:rsidR="000C061D">
        <w:t xml:space="preserve"> как на провоспалительное вещество, </w:t>
      </w:r>
      <w:r w:rsidR="000C061D">
        <w:lastRenderedPageBreak/>
        <w:t xml:space="preserve">поскольку оба протестированных варианта могут модулировать уровни экспрессии маркеров воспаления, и эти эффекты, по-видимому, </w:t>
      </w:r>
      <w:r w:rsidR="0087752B">
        <w:t xml:space="preserve">могут </w:t>
      </w:r>
      <w:r w:rsidR="000C061D">
        <w:t xml:space="preserve">быть зависимым от времени и </w:t>
      </w:r>
      <w:r>
        <w:t>задачи</w:t>
      </w:r>
      <w:r w:rsidR="000C061D">
        <w:t>. Тем не менее, данные показывают, что гиалуроновые кислоты с разной молекулярной массой модулируют ответы астроцитов на стимуляцию агонист</w:t>
      </w:r>
      <w:r w:rsidR="0087752B">
        <w:t>ов</w:t>
      </w:r>
      <w:r w:rsidR="000C061D">
        <w:t xml:space="preserve"> TLR.</w:t>
      </w:r>
    </w:p>
    <w:p w:rsidR="000C061D" w:rsidRDefault="000C061D" w:rsidP="001761DE">
      <w:pPr>
        <w:jc w:val="both"/>
      </w:pPr>
      <w:r w:rsidRPr="000C061D">
        <w:t xml:space="preserve">2.2. Модуляция экспрессии противовоспалительного цитокина IL-10 </w:t>
      </w:r>
      <w:r w:rsidR="0087752B">
        <w:t xml:space="preserve">в присутствии </w:t>
      </w:r>
      <w:r w:rsidR="00E46D23">
        <w:t>ВМГК</w:t>
      </w:r>
      <w:r w:rsidRPr="000C061D">
        <w:t xml:space="preserve"> и </w:t>
      </w:r>
      <w:r w:rsidR="00E46D23">
        <w:t>НМГК</w:t>
      </w:r>
    </w:p>
    <w:p w:rsidR="000C061D" w:rsidRDefault="000C061D" w:rsidP="001761DE">
      <w:pPr>
        <w:jc w:val="both"/>
      </w:pPr>
      <w:r w:rsidRPr="000C061D">
        <w:t xml:space="preserve">IL-10 представляет собой противовоспалительный цитокин, который индуцируется в астроцитах после стимуляции </w:t>
      </w:r>
      <w:r w:rsidR="004A2A7A">
        <w:t>LPS</w:t>
      </w:r>
      <w:r w:rsidRPr="000C061D">
        <w:t xml:space="preserve"> или PIC [21,22]. Мы оценили влияние различных концентраций </w:t>
      </w:r>
      <w:r w:rsidR="00E46D23">
        <w:t>ВМГК</w:t>
      </w:r>
      <w:r w:rsidRPr="000C061D">
        <w:t xml:space="preserve"> и </w:t>
      </w:r>
      <w:r w:rsidR="00E46D23">
        <w:t>НМГК</w:t>
      </w:r>
      <w:r w:rsidRPr="000C061D">
        <w:t xml:space="preserve"> на </w:t>
      </w:r>
      <w:r w:rsidR="004A2A7A">
        <w:t>LPS</w:t>
      </w:r>
      <w:r w:rsidRPr="000C061D">
        <w:t xml:space="preserve">- и PIC-индуцированную экспрессию IL-10 (рис. 2). Краткосрочная (рис. 2а, </w:t>
      </w:r>
      <w:r w:rsidR="00254932">
        <w:rPr>
          <w:lang w:val="en-US"/>
        </w:rPr>
        <w:t>b</w:t>
      </w:r>
      <w:r w:rsidR="00254932">
        <w:t>) или длительная (рис. 2</w:t>
      </w:r>
      <w:r w:rsidR="00254932">
        <w:rPr>
          <w:lang w:val="en-US"/>
        </w:rPr>
        <w:t>d</w:t>
      </w:r>
      <w:r w:rsidRPr="000C061D">
        <w:t xml:space="preserve">, е) инкубация с </w:t>
      </w:r>
      <w:r w:rsidR="00E46D23">
        <w:t>НМГК</w:t>
      </w:r>
      <w:r w:rsidRPr="000C061D">
        <w:t xml:space="preserve"> не влиял</w:t>
      </w:r>
      <w:r w:rsidR="0087752B">
        <w:t>и</w:t>
      </w:r>
      <w:r w:rsidRPr="000C061D">
        <w:t xml:space="preserve"> на </w:t>
      </w:r>
      <w:r w:rsidR="004A2A7A">
        <w:t>LPS</w:t>
      </w:r>
      <w:r w:rsidR="0087752B">
        <w:t>-</w:t>
      </w:r>
      <w:r w:rsidR="0087752B" w:rsidRPr="000C061D">
        <w:t xml:space="preserve">индуцированную </w:t>
      </w:r>
      <w:r w:rsidRPr="000C061D">
        <w:t xml:space="preserve">экспрессию мРНК IL-10. Кратковременное (рис. 2b) воздействие </w:t>
      </w:r>
      <w:r w:rsidR="00E46D23">
        <w:t>НМГК</w:t>
      </w:r>
      <w:r w:rsidRPr="000C061D">
        <w:t xml:space="preserve"> также не имело эффекта, в то время как длительное воздействие </w:t>
      </w:r>
      <w:r w:rsidR="00E46D23">
        <w:t>НМГК</w:t>
      </w:r>
      <w:r w:rsidRPr="000C061D">
        <w:t xml:space="preserve"> (рис. 2f) подавляло </w:t>
      </w:r>
      <w:r w:rsidR="0087752B" w:rsidRPr="000C061D">
        <w:t>PIC</w:t>
      </w:r>
      <w:r w:rsidR="0087752B">
        <w:t>-</w:t>
      </w:r>
      <w:r w:rsidRPr="000C061D">
        <w:t xml:space="preserve">индуцированную экспрессию мРНК IL-10 для всех тестируемых концентраций. Кратковременное (рис. 2b) и долгосрочное (рис. 2f) воздействие </w:t>
      </w:r>
      <w:r w:rsidR="00E46D23">
        <w:t>ВМГК</w:t>
      </w:r>
      <w:r w:rsidRPr="000C061D">
        <w:t xml:space="preserve"> подавляло PIC-индуцированную экспрессию IL-10, тогда как только длительное воздействие </w:t>
      </w:r>
      <w:r w:rsidR="00E46D23">
        <w:t>ВМГК</w:t>
      </w:r>
      <w:r w:rsidRPr="000C061D">
        <w:t xml:space="preserve"> в концентрации 450 мкг</w:t>
      </w:r>
      <w:r w:rsidR="001761DE">
        <w:t>/</w:t>
      </w:r>
      <w:r w:rsidRPr="000C061D">
        <w:t xml:space="preserve">мл модулировало экспрессию мРНК IL-10 (Рисунок 2в, е). Обратите внимание, что, хотя обе протестированные формы </w:t>
      </w:r>
      <w:r w:rsidR="00113102">
        <w:t>ГК</w:t>
      </w:r>
      <w:r w:rsidRPr="000C061D">
        <w:t xml:space="preserve"> индуцировали TLR-опосредованное высвобождение IL-10 на уровне белка (рис. 2c), эффекты были слабыми, но статистически значимыми. Добавление </w:t>
      </w:r>
      <w:r w:rsidR="0087752B">
        <w:t>ГК</w:t>
      </w:r>
      <w:r w:rsidRPr="000C061D">
        <w:t xml:space="preserve"> без агонистов TLR не влияло на высвобождение IL-10 (рис. 2d). Итак, обе протестированные формы </w:t>
      </w:r>
      <w:r w:rsidR="00113102">
        <w:t>ГК</w:t>
      </w:r>
      <w:r w:rsidRPr="000C061D">
        <w:t xml:space="preserve"> активировали экспрессию белка IL-10 TLR3- или TLR4-опосредованным образом.</w:t>
      </w:r>
    </w:p>
    <w:p w:rsidR="0087752B" w:rsidRPr="00254932" w:rsidRDefault="0087752B" w:rsidP="0087752B">
      <w:pPr>
        <w:jc w:val="both"/>
      </w:pPr>
      <w:r>
        <w:t xml:space="preserve">2.3. Модуляция синтеза оксилипина </w:t>
      </w:r>
      <w:r w:rsidR="004A2A7A">
        <w:t>ВМГК и НМГК</w:t>
      </w:r>
    </w:p>
    <w:p w:rsidR="0087752B" w:rsidRDefault="0087752B" w:rsidP="0087752B">
      <w:pPr>
        <w:jc w:val="both"/>
      </w:pPr>
      <w:r>
        <w:t xml:space="preserve">Помимо высвобождения про- и противовоспалительных цитокинов, ответы на воспалительные стимулы характеризуются синтезом оксилипина [23]. Оксилипины образуются из ПНЖК с помощью липоксигеназного (LOX), цитохромного P450 (CYP), циклооксигеназного (COX) путей или неферментативно [20,23,24]. Оксилипины оказывают огромное влияние на клеточные реакции, включая про- и противовоспалительное действие через специализированные рецепторы плазматической мембраны, ядерные рецепторы или другие механизмы [23,24]. Хотя многие оксилипины выделяются в низких концентрациях, их действие можно обобщить [25]. Недавнее развитие масс-спектрометрии позволяет анализировать профили оксилипина. Такие профили ранее не </w:t>
      </w:r>
      <w:r w:rsidR="00254932">
        <w:t>изучали</w:t>
      </w:r>
      <w:r>
        <w:t xml:space="preserve"> для астроцитов, стимулированных TLR; </w:t>
      </w:r>
      <w:r w:rsidR="004A2A7A">
        <w:t>т</w:t>
      </w:r>
      <w:r>
        <w:t>аким образом, мы получили профили оксилипина для стимуляции LPS и PIC (рис. 3a). Данные представлены в виде тепловой карты, где горизонтальная ось указывает стимулы, а вертикальная ось указывает относительное количество каждого липидного медиатора</w:t>
      </w:r>
      <w:r w:rsidR="00254932" w:rsidRPr="00254932">
        <w:t xml:space="preserve"> </w:t>
      </w:r>
      <w:r w:rsidR="00254932">
        <w:t>по логарифмической шкале (ln)</w:t>
      </w:r>
      <w:r>
        <w:t>.</w:t>
      </w:r>
    </w:p>
    <w:p w:rsidR="000C061D" w:rsidRDefault="000C061D" w:rsidP="001761DE">
      <w:pPr>
        <w:jc w:val="both"/>
      </w:pPr>
      <w:r>
        <w:t>Во внеклеточной среде астроцитов были получены производные арахидоновой кислоты (АК) через LOX (11-HETE, 12-HETE, 5-HETE), CYP (14,15-DHET, 19-HETE), COX (12-HHT, 6-кето-PGF1a, PGA2, PGE2, PGD2, PGF2a, TxB2) пути (</w:t>
      </w:r>
      <w:r w:rsidR="00300051">
        <w:t>рис.</w:t>
      </w:r>
      <w:r>
        <w:t xml:space="preserve"> 3). Мы также измерили производные докозагексаеновой кислоты (</w:t>
      </w:r>
      <w:r w:rsidR="00CD0F2C">
        <w:t>ДГК</w:t>
      </w:r>
      <w:r>
        <w:t xml:space="preserve">), продуцируемые путями LOX (4-, 8-, 10-, 13-, 14-, 16-HDoHE) или путями CYP (20-HDoHE) (рис. 3). Насколько нам известно, это первые данные о TLR-опосредованном метаболизме </w:t>
      </w:r>
      <w:r w:rsidR="00CD0F2C">
        <w:t>ДГК</w:t>
      </w:r>
      <w:r>
        <w:t xml:space="preserve"> в астроцитах. Хотя известно, что </w:t>
      </w:r>
      <w:r w:rsidR="00CD0F2C">
        <w:t>ДГК</w:t>
      </w:r>
      <w:r>
        <w:t xml:space="preserve"> и </w:t>
      </w:r>
      <w:r w:rsidR="00D62E05">
        <w:t>АК</w:t>
      </w:r>
      <w:r>
        <w:t xml:space="preserve"> высвобождаются различными изоформами фосфолипазы A2 в астроцитах [26], а </w:t>
      </w:r>
      <w:r w:rsidR="004A2A7A">
        <w:t>LPS</w:t>
      </w:r>
      <w:r>
        <w:t xml:space="preserve">-индуцированное высвобождение </w:t>
      </w:r>
      <w:r w:rsidR="00CD0F2C">
        <w:t>ДГК</w:t>
      </w:r>
      <w:r>
        <w:t xml:space="preserve"> в астроцитах [27], оксилипиновые профили метаболитов </w:t>
      </w:r>
      <w:r w:rsidR="00CD0F2C">
        <w:t>ДГК</w:t>
      </w:r>
      <w:r>
        <w:t xml:space="preserve"> </w:t>
      </w:r>
      <w:r w:rsidR="00300051">
        <w:t xml:space="preserve">описаны </w:t>
      </w:r>
      <w:r>
        <w:t xml:space="preserve">не </w:t>
      </w:r>
      <w:r w:rsidR="00300051">
        <w:t>были</w:t>
      </w:r>
      <w:r>
        <w:t xml:space="preserve">. Удивительно, но были также </w:t>
      </w:r>
      <w:r w:rsidR="00300051">
        <w:t xml:space="preserve">пути </w:t>
      </w:r>
      <w:r>
        <w:t>производны</w:t>
      </w:r>
      <w:r w:rsidR="00300051">
        <w:t>х</w:t>
      </w:r>
      <w:r>
        <w:t xml:space="preserve"> линолевой кислоты (LA) LOX (9-, 13-HODE, 9-, 13-KODE) и CYP (9,10-DiHO</w:t>
      </w:r>
      <w:r w:rsidR="00300051">
        <w:t xml:space="preserve">ME, 12,13-DiHOME) (рис. 3). </w:t>
      </w:r>
      <w:r>
        <w:t xml:space="preserve">Мы также измерили 17,18-DiHETE, производное эйкозапентаеновой кислоты (EPA), продуцируемое по пути CYP, но оно не модулировалось </w:t>
      </w:r>
      <w:r w:rsidR="00300051">
        <w:t>в</w:t>
      </w:r>
      <w:r>
        <w:t xml:space="preserve"> нашем </w:t>
      </w:r>
      <w:r w:rsidR="00300051">
        <w:t>эксперименте</w:t>
      </w:r>
      <w:r>
        <w:t xml:space="preserve"> (рис. 3a). Как </w:t>
      </w:r>
      <w:r w:rsidR="004A2A7A">
        <w:t>LPS</w:t>
      </w:r>
      <w:r>
        <w:t>, так и PIC-стимуляция индуцировали метаболизм арахидоновой кислоты (</w:t>
      </w:r>
      <w:r w:rsidR="00D62E05">
        <w:t>АК</w:t>
      </w:r>
      <w:r>
        <w:t xml:space="preserve">) через путь </w:t>
      </w:r>
      <w:r>
        <w:lastRenderedPageBreak/>
        <w:t>COX (рис. 3a) и метаболизм докозагексаеновой кислоты (</w:t>
      </w:r>
      <w:r w:rsidR="00CD0F2C">
        <w:t>ДГК</w:t>
      </w:r>
      <w:r>
        <w:t xml:space="preserve">) через путь LOX (рис. 3a). TLR-опосредованный синтез производных АК через путь </w:t>
      </w:r>
      <w:r w:rsidR="00300051">
        <w:rPr>
          <w:lang w:val="en-US"/>
        </w:rPr>
        <w:t>COX</w:t>
      </w:r>
      <w:r>
        <w:t xml:space="preserve"> был показан ранее [20,28].</w:t>
      </w:r>
    </w:p>
    <w:p w:rsidR="000C061D" w:rsidRDefault="000C061D" w:rsidP="001761DE">
      <w:pPr>
        <w:jc w:val="both"/>
      </w:pPr>
      <w:r>
        <w:t xml:space="preserve">Хотя профили оксилипина </w:t>
      </w:r>
      <w:r w:rsidR="00254932">
        <w:t>при воздействии</w:t>
      </w:r>
      <w:r>
        <w:t xml:space="preserve"> </w:t>
      </w:r>
      <w:r w:rsidR="00E46D23">
        <w:t>НМГК</w:t>
      </w:r>
      <w:r>
        <w:t xml:space="preserve"> или </w:t>
      </w:r>
      <w:r w:rsidR="00E46D23">
        <w:t>ВМГК</w:t>
      </w:r>
      <w:r>
        <w:t xml:space="preserve"> ранее не оценивались, </w:t>
      </w:r>
      <w:r w:rsidR="00254932">
        <w:t xml:space="preserve">была идентифицирована </w:t>
      </w:r>
      <w:r>
        <w:t xml:space="preserve">возможность связи между воспалением, опосредованным гиалуронаном, и метаболизмом арахидоновой кислоты через путь </w:t>
      </w:r>
      <w:r w:rsidR="00300051">
        <w:rPr>
          <w:lang w:val="en-US"/>
        </w:rPr>
        <w:t>COX</w:t>
      </w:r>
      <w:r>
        <w:t xml:space="preserve"> для моноцитов и макрофагов [29]; поэтому мы оценили наличие этой связи в астроцитах. Мы сравнили долгосрочное и краткосрочное влияние ГК на профили оксилипинов. </w:t>
      </w:r>
      <w:r w:rsidR="00300051">
        <w:t xml:space="preserve">В наших экспериментах были </w:t>
      </w:r>
      <w:r>
        <w:t>модулирова</w:t>
      </w:r>
      <w:r w:rsidR="00300051">
        <w:t>ны</w:t>
      </w:r>
      <w:r>
        <w:t xml:space="preserve"> профили оксилипина, и эффекты различались для краткосрочного и долгосрочного применения как для </w:t>
      </w:r>
      <w:r w:rsidR="00E46D23">
        <w:t>НМГК</w:t>
      </w:r>
      <w:r>
        <w:t xml:space="preserve">, так и для </w:t>
      </w:r>
      <w:r w:rsidR="00E46D23">
        <w:t>ВМГК</w:t>
      </w:r>
      <w:r>
        <w:t xml:space="preserve"> (</w:t>
      </w:r>
      <w:r w:rsidR="00300051">
        <w:t>рис.</w:t>
      </w:r>
      <w:r>
        <w:t xml:space="preserve"> 3a). Интересно, что влияние краткосрочно</w:t>
      </w:r>
      <w:r w:rsidR="007F014E">
        <w:t>го</w:t>
      </w:r>
      <w:r>
        <w:t xml:space="preserve"> </w:t>
      </w:r>
      <w:r w:rsidR="007F014E">
        <w:t>воздействия</w:t>
      </w:r>
      <w:r>
        <w:t xml:space="preserve"> </w:t>
      </w:r>
      <w:r w:rsidR="00E46D23">
        <w:t>ВМГК</w:t>
      </w:r>
      <w:r>
        <w:t xml:space="preserve"> на такие метаболиты, как 12-HHT, PGF2</w:t>
      </w:r>
      <w:r w:rsidR="00300051">
        <w:t>а</w:t>
      </w:r>
      <w:r>
        <w:t xml:space="preserve">, 8-HDoHE, делает его сопоставимым с эффектами </w:t>
      </w:r>
      <w:r w:rsidR="004A2A7A">
        <w:t>LPS</w:t>
      </w:r>
      <w:r>
        <w:t xml:space="preserve"> или PIC (</w:t>
      </w:r>
      <w:r w:rsidR="00300051">
        <w:t>рис.</w:t>
      </w:r>
      <w:r>
        <w:t xml:space="preserve"> 3a). Кроме того, влияние на 5-HETE сравнимо с ответом на </w:t>
      </w:r>
      <w:r w:rsidR="00300051">
        <w:t>взаимодействие с</w:t>
      </w:r>
      <w:r>
        <w:t xml:space="preserve"> PIC. </w:t>
      </w:r>
      <w:r w:rsidR="00300051">
        <w:t>Для кр</w:t>
      </w:r>
      <w:r w:rsidR="007F014E">
        <w:t>а</w:t>
      </w:r>
      <w:r w:rsidR="00300051">
        <w:t xml:space="preserve">ткого и длительного </w:t>
      </w:r>
      <w:r w:rsidR="008A7861">
        <w:t>взаим</w:t>
      </w:r>
      <w:r w:rsidR="007F014E">
        <w:t>о</w:t>
      </w:r>
      <w:r w:rsidR="008A7861">
        <w:t>действи</w:t>
      </w:r>
      <w:r w:rsidR="007F014E">
        <w:t>я</w:t>
      </w:r>
      <w:r w:rsidR="00300051">
        <w:t xml:space="preserve"> </w:t>
      </w:r>
      <w:r w:rsidR="007F014E">
        <w:t>влияние</w:t>
      </w:r>
      <w:r>
        <w:t xml:space="preserve"> </w:t>
      </w:r>
      <w:r w:rsidR="00E46D23">
        <w:t>ВМГК</w:t>
      </w:r>
      <w:r>
        <w:t xml:space="preserve"> </w:t>
      </w:r>
      <w:r w:rsidR="008A7861">
        <w:t>различается</w:t>
      </w:r>
      <w:r>
        <w:t xml:space="preserve">, что указывает на возможность адаптации к действию </w:t>
      </w:r>
      <w:r w:rsidR="00E46D23">
        <w:t>ВМГК</w:t>
      </w:r>
      <w:r>
        <w:t xml:space="preserve">. </w:t>
      </w:r>
      <w:r w:rsidR="00E46D23">
        <w:t>НМГК</w:t>
      </w:r>
      <w:r>
        <w:t xml:space="preserve"> также влияет на профиль оксилипинов, но менее выражен</w:t>
      </w:r>
      <w:r w:rsidR="007F014E">
        <w:t>но</w:t>
      </w:r>
      <w:r>
        <w:t xml:space="preserve"> (</w:t>
      </w:r>
      <w:r w:rsidR="008A7861">
        <w:t>рис.</w:t>
      </w:r>
      <w:r>
        <w:t xml:space="preserve"> 3a). Кратковременное применение </w:t>
      </w:r>
      <w:r w:rsidR="00E46D23">
        <w:t>НМГК</w:t>
      </w:r>
      <w:r>
        <w:t xml:space="preserve"> индуцировало высвобождение PGF2</w:t>
      </w:r>
      <w:r w:rsidR="008A7861">
        <w:t>а</w:t>
      </w:r>
      <w:r>
        <w:t xml:space="preserve"> на уровне, сравнимом со стимуляцией </w:t>
      </w:r>
      <w:r w:rsidR="004A2A7A">
        <w:t>LPS</w:t>
      </w:r>
      <w:r>
        <w:t xml:space="preserve"> или PIC, также наблюдалось заметное снижение 14, 15-DHET и 16-HDoHE (рис. 3a). Опять же, долгосрочное применение </w:t>
      </w:r>
      <w:r w:rsidR="00E46D23">
        <w:t>НМГК</w:t>
      </w:r>
      <w:r>
        <w:t xml:space="preserve"> обнаруживает изменение профилей оксилипина по сравнению с краткосрочным применением (рис. 3a). На следующем этапе мы проанализировали влияние </w:t>
      </w:r>
      <w:r w:rsidR="00113102">
        <w:t>ГК</w:t>
      </w:r>
      <w:r>
        <w:t xml:space="preserve"> на </w:t>
      </w:r>
      <w:r w:rsidR="004A2A7A">
        <w:t>LPS</w:t>
      </w:r>
      <w:r>
        <w:t>- и PIC-индуцированные профили оксилипина (рис. 3b). На рис</w:t>
      </w:r>
      <w:r w:rsidR="008A7861">
        <w:t>.</w:t>
      </w:r>
      <w:r>
        <w:t xml:space="preserve"> 3b количества оксилипинов, вызванны</w:t>
      </w:r>
      <w:r w:rsidR="007F014E">
        <w:t>е</w:t>
      </w:r>
      <w:r>
        <w:t xml:space="preserve"> стимулом, были приняты за единицу, в то время как изменения (по сравнению с индуцированными стимулами) каждого обнаруженного вещества представлены в виде натурального логарифма (ln) (рис</w:t>
      </w:r>
      <w:r w:rsidR="007F014E">
        <w:t>.</w:t>
      </w:r>
      <w:r>
        <w:t xml:space="preserve"> 3b). Мы обнаружили, что </w:t>
      </w:r>
      <w:r w:rsidR="00E46D23">
        <w:t>НМГК</w:t>
      </w:r>
      <w:r>
        <w:t xml:space="preserve"> модулирует путь LOX, и эффекты усиливаются при длительном воздействии (рис. 3b), причем обе протестированные формы </w:t>
      </w:r>
      <w:r w:rsidR="00113102">
        <w:t>ГК</w:t>
      </w:r>
      <w:r>
        <w:t xml:space="preserve"> снижают путь COX, активированный </w:t>
      </w:r>
      <w:r w:rsidR="004A2A7A">
        <w:t>LPS</w:t>
      </w:r>
      <w:r>
        <w:t xml:space="preserve"> или PIC (рис. 3b).</w:t>
      </w:r>
    </w:p>
    <w:p w:rsidR="000C061D" w:rsidRDefault="000C061D" w:rsidP="001761DE">
      <w:pPr>
        <w:jc w:val="both"/>
      </w:pPr>
      <w:r>
        <w:t>2.4. Модуляция экспрессии циклооксигеназы 2 (</w:t>
      </w:r>
      <w:r w:rsidR="008A7861">
        <w:rPr>
          <w:lang w:val="en-US"/>
        </w:rPr>
        <w:t>COX</w:t>
      </w:r>
      <w:r w:rsidR="00CD0F2C">
        <w:t>-2</w:t>
      </w:r>
      <w:r>
        <w:t xml:space="preserve">) </w:t>
      </w:r>
      <w:r w:rsidR="00E46D23">
        <w:t>ВМГК</w:t>
      </w:r>
      <w:r>
        <w:t xml:space="preserve"> и </w:t>
      </w:r>
      <w:r w:rsidR="00E46D23">
        <w:t>НМГК</w:t>
      </w:r>
    </w:p>
    <w:p w:rsidR="000C061D" w:rsidRPr="002E7080" w:rsidRDefault="000C061D" w:rsidP="001761DE">
      <w:pPr>
        <w:jc w:val="both"/>
      </w:pPr>
      <w:r>
        <w:t xml:space="preserve">Влияние </w:t>
      </w:r>
      <w:r w:rsidR="008A7861">
        <w:t xml:space="preserve">ГА на </w:t>
      </w:r>
      <w:r>
        <w:t>профил</w:t>
      </w:r>
      <w:r w:rsidR="008A7861">
        <w:t>и</w:t>
      </w:r>
      <w:r>
        <w:t xml:space="preserve"> оксилипина</w:t>
      </w:r>
      <w:r w:rsidR="008A7861">
        <w:t>,</w:t>
      </w:r>
      <w:r>
        <w:t xml:space="preserve"> стимулированных PIC (рис. 3b)</w:t>
      </w:r>
      <w:r w:rsidR="008A7861">
        <w:t>,</w:t>
      </w:r>
      <w:r>
        <w:t xml:space="preserve"> позволяет предположить влияние </w:t>
      </w:r>
      <w:r w:rsidR="008A7861">
        <w:rPr>
          <w:lang w:val="en-US"/>
        </w:rPr>
        <w:t>COX</w:t>
      </w:r>
      <w:r w:rsidR="00CD0F2C">
        <w:t>-2</w:t>
      </w:r>
      <w:r>
        <w:t>, ключевого фермента синтеза простагландинов</w:t>
      </w:r>
      <w:r w:rsidR="008A7861">
        <w:t>,</w:t>
      </w:r>
      <w:r>
        <w:t xml:space="preserve"> после воспалительной стимуляции. Ранее мы показали, что </w:t>
      </w:r>
      <w:r w:rsidR="008A7861">
        <w:rPr>
          <w:lang w:val="en-US"/>
        </w:rPr>
        <w:t>COX</w:t>
      </w:r>
      <w:r>
        <w:t xml:space="preserve">-2 является основным ферментом, ответственным за </w:t>
      </w:r>
      <w:r w:rsidR="004A2A7A">
        <w:t>LPS</w:t>
      </w:r>
      <w:r>
        <w:t xml:space="preserve">- и PIC-индуцированный синтез соответствующих веществ в астроцитах [28,30]. Поэтому мы проанализировали модуляцию </w:t>
      </w:r>
      <w:r w:rsidR="004A2A7A">
        <w:t>LPS</w:t>
      </w:r>
      <w:r>
        <w:t xml:space="preserve">- и PIC-индуцированной экспрессии ЦОГ-2 </w:t>
      </w:r>
      <w:r w:rsidR="00E46D23">
        <w:t>ВМГК</w:t>
      </w:r>
      <w:r>
        <w:t xml:space="preserve"> и </w:t>
      </w:r>
      <w:r w:rsidR="00E46D23">
        <w:t>НМГК</w:t>
      </w:r>
      <w:r>
        <w:t xml:space="preserve"> в условиях краткосрочного и длительного воздействия (рис. 4). Мы обнаружили, что тестируемые формы </w:t>
      </w:r>
      <w:r w:rsidR="00113102">
        <w:t>ГК</w:t>
      </w:r>
      <w:r>
        <w:t xml:space="preserve"> не влияли на </w:t>
      </w:r>
      <w:r w:rsidR="004A2A7A">
        <w:t>LPS</w:t>
      </w:r>
      <w:r>
        <w:t xml:space="preserve">-индуцированную экспрессию </w:t>
      </w:r>
      <w:r w:rsidR="008A7861">
        <w:rPr>
          <w:lang w:val="en-US"/>
        </w:rPr>
        <w:t>COX</w:t>
      </w:r>
      <w:r w:rsidR="00CD0F2C">
        <w:t>-2</w:t>
      </w:r>
      <w:r>
        <w:t xml:space="preserve">, в то время как наблюдалось значительное снижение PIC-стимулированной экспрессии </w:t>
      </w:r>
      <w:r w:rsidR="008A7861">
        <w:rPr>
          <w:lang w:val="en-US"/>
        </w:rPr>
        <w:t>COX</w:t>
      </w:r>
      <w:r w:rsidR="00CD0F2C">
        <w:t>-2</w:t>
      </w:r>
      <w:r>
        <w:t xml:space="preserve"> в клетках, подвергшихся воздействию </w:t>
      </w:r>
      <w:r w:rsidR="00E46D23">
        <w:t>НМГК</w:t>
      </w:r>
      <w:r>
        <w:t xml:space="preserve"> или </w:t>
      </w:r>
      <w:r w:rsidR="00E46D23">
        <w:t>ВМГК</w:t>
      </w:r>
      <w:r>
        <w:t xml:space="preserve"> (</w:t>
      </w:r>
      <w:r w:rsidR="008A7861">
        <w:t>рис</w:t>
      </w:r>
      <w:r>
        <w:t xml:space="preserve">. 4). Данные, касающиеся экспрессии белка </w:t>
      </w:r>
      <w:r w:rsidR="008A7861">
        <w:rPr>
          <w:lang w:val="en-US"/>
        </w:rPr>
        <w:t>COX</w:t>
      </w:r>
      <w:r w:rsidR="00CD0F2C">
        <w:t>-2</w:t>
      </w:r>
      <w:r>
        <w:t xml:space="preserve">, коррелировали с паттернами синтеза оксилипина (рис. 3b). Это показывает влияние </w:t>
      </w:r>
      <w:r w:rsidR="00113102">
        <w:t>ГК</w:t>
      </w:r>
      <w:r>
        <w:t xml:space="preserve"> на </w:t>
      </w:r>
      <w:r w:rsidR="008A7861">
        <w:t xml:space="preserve">синтез </w:t>
      </w:r>
      <w:r>
        <w:t>TLR-опосредованн</w:t>
      </w:r>
      <w:r w:rsidR="008A7861">
        <w:t>ого</w:t>
      </w:r>
      <w:r>
        <w:t xml:space="preserve"> простагландин</w:t>
      </w:r>
      <w:r w:rsidR="008A7861">
        <w:t>а</w:t>
      </w:r>
      <w:r>
        <w:t xml:space="preserve"> </w:t>
      </w:r>
      <w:r w:rsidR="008A7861">
        <w:t xml:space="preserve">в астроцитах </w:t>
      </w:r>
      <w:r>
        <w:t xml:space="preserve">посредством модуляции метаболического пути </w:t>
      </w:r>
      <w:r w:rsidR="008A7861">
        <w:rPr>
          <w:lang w:val="en-US"/>
        </w:rPr>
        <w:t>COX</w:t>
      </w:r>
      <w:r w:rsidR="00CD0F2C">
        <w:t>-2</w:t>
      </w:r>
      <w:r>
        <w:t>.</w:t>
      </w:r>
    </w:p>
    <w:p w:rsidR="007F014E" w:rsidRDefault="007F014E" w:rsidP="001761DE">
      <w:pPr>
        <w:jc w:val="both"/>
      </w:pPr>
    </w:p>
    <w:p w:rsidR="00A03D28" w:rsidRDefault="00A03D28" w:rsidP="001761DE">
      <w:pPr>
        <w:jc w:val="both"/>
      </w:pPr>
      <w:r>
        <w:t>3. Обсуждение</w:t>
      </w:r>
    </w:p>
    <w:p w:rsidR="00A03D28" w:rsidRDefault="00A03D28" w:rsidP="001761DE">
      <w:pPr>
        <w:jc w:val="both"/>
      </w:pPr>
      <w:r>
        <w:t xml:space="preserve">Наши данные показывают, что как </w:t>
      </w:r>
      <w:r w:rsidR="00E46D23">
        <w:t>НМГК</w:t>
      </w:r>
      <w:r>
        <w:t xml:space="preserve">, так и </w:t>
      </w:r>
      <w:r w:rsidR="00E46D23">
        <w:t>ВМГК</w:t>
      </w:r>
      <w:r w:rsidR="008A7861">
        <w:t>:</w:t>
      </w:r>
      <w:r>
        <w:t xml:space="preserve"> 1) </w:t>
      </w:r>
      <w:r w:rsidR="007F014E">
        <w:t xml:space="preserve">непосредственно </w:t>
      </w:r>
      <w:r>
        <w:t xml:space="preserve">влияют на уровни цитокинов и оксилипинов во внеклеточной среде культивируемых астроцитов, 2) индуцируют клеточную адаптацию </w:t>
      </w:r>
      <w:r w:rsidR="007F014E">
        <w:t>при</w:t>
      </w:r>
      <w:r>
        <w:t xml:space="preserve"> долгосрочно</w:t>
      </w:r>
      <w:r w:rsidR="007F014E">
        <w:t>м</w:t>
      </w:r>
      <w:r>
        <w:t xml:space="preserve"> применени</w:t>
      </w:r>
      <w:r w:rsidR="007F014E">
        <w:t>и</w:t>
      </w:r>
      <w:r>
        <w:t xml:space="preserve">, 3) модулируют пути передачи сигналов TLR4 и TLR3. Эффекты </w:t>
      </w:r>
      <w:r w:rsidR="00E46D23">
        <w:t>ВМГК</w:t>
      </w:r>
      <w:r>
        <w:t xml:space="preserve"> и </w:t>
      </w:r>
      <w:r w:rsidR="00E46D23">
        <w:t>НМГК</w:t>
      </w:r>
      <w:r>
        <w:t xml:space="preserve"> преимущественно выявляются в ответах, </w:t>
      </w:r>
      <w:r w:rsidR="007F014E">
        <w:t xml:space="preserve">выражаемых </w:t>
      </w:r>
      <w:r>
        <w:t>TLR4 и TLR3, соответственно.</w:t>
      </w:r>
    </w:p>
    <w:p w:rsidR="002E7080" w:rsidRDefault="00A03D28" w:rsidP="001761DE">
      <w:pPr>
        <w:jc w:val="both"/>
      </w:pPr>
      <w:r>
        <w:lastRenderedPageBreak/>
        <w:t xml:space="preserve">Хорошо известно, что большинство свойств </w:t>
      </w:r>
      <w:r w:rsidR="00113102">
        <w:t>ГК</w:t>
      </w:r>
      <w:r>
        <w:t xml:space="preserve"> завис</w:t>
      </w:r>
      <w:r w:rsidR="007F014E">
        <w:t>и</w:t>
      </w:r>
      <w:r>
        <w:t xml:space="preserve">т от </w:t>
      </w:r>
      <w:r w:rsidR="007F014E">
        <w:t>величины</w:t>
      </w:r>
      <w:r w:rsidR="008A7861">
        <w:t xml:space="preserve"> молекулярной массы</w:t>
      </w:r>
      <w:r>
        <w:t xml:space="preserve">. </w:t>
      </w:r>
      <w:r w:rsidR="00E46D23">
        <w:t>ВМГК</w:t>
      </w:r>
      <w:r>
        <w:t xml:space="preserve"> (&gt;</w:t>
      </w:r>
      <w:r w:rsidR="008A7861">
        <w:t>1</w:t>
      </w:r>
      <w:r>
        <w:t xml:space="preserve">000 кДа) оказывает противовоспалительное действие, а </w:t>
      </w:r>
      <w:r w:rsidR="00E46D23">
        <w:t>НМГК</w:t>
      </w:r>
      <w:r>
        <w:t xml:space="preserve"> проявляет провоспалительные свойства [12,31–34]. Таким образом, сам</w:t>
      </w:r>
      <w:r w:rsidR="008A7861">
        <w:t>а</w:t>
      </w:r>
      <w:r>
        <w:t xml:space="preserve"> ГК и биоматериалы на основе ГК нашли успех в широком спектре биомедицинских приложений, </w:t>
      </w:r>
      <w:r w:rsidR="007F014E">
        <w:t>при</w:t>
      </w:r>
      <w:r>
        <w:t xml:space="preserve"> лечени</w:t>
      </w:r>
      <w:r w:rsidR="007F014E">
        <w:t>и</w:t>
      </w:r>
      <w:r>
        <w:t xml:space="preserve"> воспалений и заживление ран в дерматологии, ортопедии, </w:t>
      </w:r>
      <w:r w:rsidR="008A7861">
        <w:t xml:space="preserve">при </w:t>
      </w:r>
      <w:r>
        <w:t xml:space="preserve">артрите и </w:t>
      </w:r>
      <w:r w:rsidR="008A7861">
        <w:t xml:space="preserve">в </w:t>
      </w:r>
      <w:r>
        <w:t>офтальмологии [12]. Несмотря на физиологическ</w:t>
      </w:r>
      <w:r w:rsidR="008A7861">
        <w:t>ую</w:t>
      </w:r>
      <w:r>
        <w:t xml:space="preserve"> </w:t>
      </w:r>
      <w:r w:rsidR="008A7861">
        <w:t>значимость</w:t>
      </w:r>
      <w:r>
        <w:t xml:space="preserve"> ГК, молекулярные механизмы </w:t>
      </w:r>
      <w:r w:rsidR="003A65F9">
        <w:t>ее</w:t>
      </w:r>
      <w:r>
        <w:t xml:space="preserve"> действия до сих пор не ясны. Исследования с участием </w:t>
      </w:r>
      <w:r w:rsidR="00113102">
        <w:t>ГК</w:t>
      </w:r>
      <w:r>
        <w:t xml:space="preserve"> и TLR-опосредованной активации передачи сигналов сложны из-за неразборчивости </w:t>
      </w:r>
      <w:r w:rsidR="00113102">
        <w:t>ГК</w:t>
      </w:r>
      <w:r>
        <w:t xml:space="preserve"> для нескольких рецепторов клеточной поверхности, корецепторов и связанных белков. </w:t>
      </w:r>
      <w:r w:rsidR="00113102">
        <w:t>ГК</w:t>
      </w:r>
      <w:r>
        <w:t xml:space="preserve"> может связывать рецептор опосредованной гиалуронаном подвижности, TLR2, TLR4, CD44 и молекулу межклеточной адгезии-1 (ICAM-1), модуляцию комплексов рецептора с TLR4-MD-2, CD44 или CD14 [1,15]. Принято считать, что </w:t>
      </w:r>
      <w:r w:rsidR="00113102">
        <w:t>ГК</w:t>
      </w:r>
      <w:r>
        <w:t xml:space="preserve"> опосредует свои эффекты, блокируя индукцию воспалительной передачи сигналов через внеклеточный механизм [1].</w:t>
      </w:r>
    </w:p>
    <w:p w:rsidR="00A03D28" w:rsidRDefault="00A03D28" w:rsidP="001761DE">
      <w:pPr>
        <w:jc w:val="both"/>
      </w:pPr>
      <w:r w:rsidRPr="00A03D28">
        <w:t xml:space="preserve">В ЦНС </w:t>
      </w:r>
      <w:r w:rsidR="00E46D23">
        <w:t>ВМГК</w:t>
      </w:r>
      <w:r w:rsidRPr="00A03D28">
        <w:t xml:space="preserve"> подавляет пролиферацию астроцитов [13,14], тогда как </w:t>
      </w:r>
      <w:r w:rsidR="00113102">
        <w:t>ГК</w:t>
      </w:r>
      <w:r w:rsidRPr="00A03D28">
        <w:t xml:space="preserve">-зависимая активация TLR2 на незрелых олигодендроцитах имеет значение для ремиелинизации в случае рассеянного склероза [35]. Влияние </w:t>
      </w:r>
      <w:r w:rsidR="00E46D23">
        <w:t>НМГК</w:t>
      </w:r>
      <w:r w:rsidRPr="00A03D28">
        <w:t xml:space="preserve"> и</w:t>
      </w:r>
      <w:r w:rsidR="003A65F9">
        <w:t xml:space="preserve"> </w:t>
      </w:r>
      <w:r w:rsidR="00E46D23">
        <w:t>ВМГК</w:t>
      </w:r>
      <w:r w:rsidRPr="00A03D28">
        <w:t xml:space="preserve"> на TLR-опосредованные клеточные ответы астроцитов ранее </w:t>
      </w:r>
      <w:r w:rsidR="003A65F9">
        <w:t>описано не было</w:t>
      </w:r>
      <w:r w:rsidRPr="00A03D28">
        <w:t xml:space="preserve">. Поэтому мы сравнили их влияние на две основные ветви клеточных ответов: высвобождение цитокинов и синтез оксилипина. Мы использовали два протокола </w:t>
      </w:r>
      <w:r w:rsidR="00E80A3B">
        <w:t>внесения</w:t>
      </w:r>
      <w:r w:rsidRPr="00A03D28">
        <w:t xml:space="preserve"> ГК</w:t>
      </w:r>
      <w:r w:rsidR="007F014E">
        <w:t xml:space="preserve"> –</w:t>
      </w:r>
      <w:r w:rsidRPr="00A03D28">
        <w:t xml:space="preserve"> </w:t>
      </w:r>
      <w:r w:rsidR="00E80A3B">
        <w:t>н</w:t>
      </w:r>
      <w:r w:rsidRPr="00A03D28">
        <w:t xml:space="preserve">а 30 мин (кратковременный) и </w:t>
      </w:r>
      <w:r w:rsidR="00E80A3B">
        <w:t>н</w:t>
      </w:r>
      <w:r w:rsidRPr="00A03D28">
        <w:t>а 48 часов (длительный) до стимуляции агонистами TLR в течение 4 часов. Долгосрочн</w:t>
      </w:r>
      <w:r w:rsidR="00E80A3B">
        <w:t>ая экспозиция</w:t>
      </w:r>
      <w:r w:rsidRPr="00A03D28">
        <w:t xml:space="preserve"> выявляет возможное участие механизмов обратной связи, которые позволяют клеткам адаптироваться к первоначальному ответу, который можно оценить в протоколе краткосрочного </w:t>
      </w:r>
      <w:r w:rsidR="00E80A3B">
        <w:t>применения</w:t>
      </w:r>
      <w:r w:rsidRPr="00A03D28">
        <w:t xml:space="preserve">. Мы обнаружили, что кратковременное применение </w:t>
      </w:r>
      <w:r w:rsidR="00E46D23">
        <w:t>ВМГК</w:t>
      </w:r>
      <w:r w:rsidRPr="00A03D28">
        <w:t xml:space="preserve"> индуцировало добавление мРНК </w:t>
      </w:r>
      <w:r w:rsidR="00CD0F2C">
        <w:t>TNFа</w:t>
      </w:r>
      <w:r w:rsidRPr="00A03D28">
        <w:t xml:space="preserve">, а также усиливало </w:t>
      </w:r>
      <w:r w:rsidR="004A2A7A">
        <w:t>LPS</w:t>
      </w:r>
      <w:r w:rsidRPr="00A03D28">
        <w:t xml:space="preserve">-опосредованную экспрессию </w:t>
      </w:r>
      <w:r w:rsidR="00CD0F2C">
        <w:t>TNFа</w:t>
      </w:r>
      <w:r w:rsidRPr="00A03D28">
        <w:t xml:space="preserve"> как на уровне мРНК, так и на уровне белка. Длительное применение </w:t>
      </w:r>
      <w:r w:rsidR="00E46D23">
        <w:t>ВМГК</w:t>
      </w:r>
      <w:r w:rsidRPr="00A03D28">
        <w:t xml:space="preserve"> также индуцировало </w:t>
      </w:r>
      <w:r w:rsidR="004A2A7A">
        <w:t>LPS</w:t>
      </w:r>
      <w:r w:rsidRPr="00A03D28">
        <w:t xml:space="preserve">-опосредованную экспрессию мРНК </w:t>
      </w:r>
      <w:r w:rsidR="00CD0F2C">
        <w:t>TNFа</w:t>
      </w:r>
      <w:r w:rsidRPr="00A03D28">
        <w:t xml:space="preserve">. Обратите внимание, что </w:t>
      </w:r>
      <w:r w:rsidR="00E80A3B" w:rsidRPr="00A03D28">
        <w:t xml:space="preserve">эффекты </w:t>
      </w:r>
      <w:r w:rsidR="00E80A3B">
        <w:t>наблюдаются при</w:t>
      </w:r>
      <w:r w:rsidR="00E80A3B" w:rsidRPr="00A03D28">
        <w:t xml:space="preserve"> </w:t>
      </w:r>
      <w:r w:rsidRPr="00A03D28">
        <w:t xml:space="preserve">10 </w:t>
      </w:r>
      <w:r w:rsidR="007F014E">
        <w:t>мк</w:t>
      </w:r>
      <w:r w:rsidRPr="00A03D28">
        <w:t>г</w:t>
      </w:r>
      <w:r w:rsidR="001761DE">
        <w:t>/</w:t>
      </w:r>
      <w:r w:rsidRPr="00A03D28">
        <w:t xml:space="preserve">мл и 450 </w:t>
      </w:r>
      <w:r w:rsidR="007F014E">
        <w:t>мк</w:t>
      </w:r>
      <w:r w:rsidRPr="00A03D28">
        <w:t>г</w:t>
      </w:r>
      <w:r w:rsidR="001761DE">
        <w:t>/</w:t>
      </w:r>
      <w:r w:rsidRPr="00A03D28">
        <w:t xml:space="preserve">мл, но не </w:t>
      </w:r>
      <w:r w:rsidR="00E80A3B">
        <w:t xml:space="preserve">при </w:t>
      </w:r>
      <w:r w:rsidRPr="00A03D28">
        <w:t xml:space="preserve">100 </w:t>
      </w:r>
      <w:r w:rsidR="007F014E">
        <w:t>мк</w:t>
      </w:r>
      <w:r w:rsidRPr="00A03D28">
        <w:t>г</w:t>
      </w:r>
      <w:r w:rsidR="001761DE">
        <w:t>/</w:t>
      </w:r>
      <w:r w:rsidRPr="00A03D28">
        <w:t xml:space="preserve">мл. Такая концентрационная зависимость в клеточных ответах обычно отражает множественные механизмы действия веществ. В пользу множественных механизмов реализации эффектов </w:t>
      </w:r>
      <w:r w:rsidR="00113102">
        <w:t>ГК</w:t>
      </w:r>
      <w:r w:rsidRPr="00A03D28">
        <w:t xml:space="preserve"> также указывает</w:t>
      </w:r>
      <w:r w:rsidR="00E80A3B">
        <w:t xml:space="preserve"> то</w:t>
      </w:r>
      <w:r w:rsidRPr="00A03D28">
        <w:t>, что 10 мкг</w:t>
      </w:r>
      <w:r w:rsidR="001761DE">
        <w:t>/</w:t>
      </w:r>
      <w:r w:rsidRPr="00A03D28">
        <w:t xml:space="preserve">мл </w:t>
      </w:r>
      <w:r w:rsidR="00E46D23">
        <w:t>ВМГК</w:t>
      </w:r>
      <w:r w:rsidRPr="00A03D28">
        <w:t xml:space="preserve"> потенцировали </w:t>
      </w:r>
      <w:r w:rsidR="00E80A3B">
        <w:t>PIC-</w:t>
      </w:r>
      <w:r w:rsidRPr="00A03D28">
        <w:t xml:space="preserve">опосредованную экспрессию </w:t>
      </w:r>
      <w:r w:rsidR="00CD0F2C">
        <w:t>TNFа</w:t>
      </w:r>
      <w:r w:rsidRPr="00A03D28">
        <w:t xml:space="preserve">. Кроме того, длительное применение </w:t>
      </w:r>
      <w:r w:rsidR="00E46D23">
        <w:t>ВМГК</w:t>
      </w:r>
      <w:r w:rsidRPr="00A03D28">
        <w:t xml:space="preserve"> с концентрацией 450 мкг</w:t>
      </w:r>
      <w:r w:rsidR="001761DE">
        <w:t>/</w:t>
      </w:r>
      <w:r w:rsidRPr="00A03D28">
        <w:t xml:space="preserve">мл индуцировало </w:t>
      </w:r>
      <w:r w:rsidR="004A2A7A">
        <w:t>LPS</w:t>
      </w:r>
      <w:r w:rsidRPr="00A03D28">
        <w:t xml:space="preserve">-опосредованную экспрессию мРНК IL-10, что позволяет подозревать, что точки соединения этой концентрации влияют на </w:t>
      </w:r>
      <w:r w:rsidR="004A2A7A">
        <w:t>LPS</w:t>
      </w:r>
      <w:r w:rsidRPr="00A03D28">
        <w:t xml:space="preserve">-опосредованную индукцию </w:t>
      </w:r>
      <w:r w:rsidR="00CD0F2C">
        <w:t>TNFа</w:t>
      </w:r>
      <w:r w:rsidRPr="00A03D28">
        <w:t xml:space="preserve"> и IL-10, возможно, на уровне NF-kB, как было показано ранее [36]. </w:t>
      </w:r>
      <w:r w:rsidR="00E46D23">
        <w:t>ВМГК</w:t>
      </w:r>
      <w:r w:rsidRPr="00A03D28">
        <w:t xml:space="preserve"> также снижал</w:t>
      </w:r>
      <w:r w:rsidR="008B6205">
        <w:t>а</w:t>
      </w:r>
      <w:r w:rsidRPr="00A03D28">
        <w:t xml:space="preserve"> </w:t>
      </w:r>
      <w:r w:rsidR="00E80A3B" w:rsidRPr="00A03D28">
        <w:t>PIC</w:t>
      </w:r>
      <w:r w:rsidR="00E80A3B">
        <w:t>-</w:t>
      </w:r>
      <w:r w:rsidRPr="00A03D28">
        <w:t xml:space="preserve">посредованную экспрессию мРНК IL-10. Кроме того, </w:t>
      </w:r>
      <w:r w:rsidR="00E46D23">
        <w:t>ВМГК</w:t>
      </w:r>
      <w:r w:rsidRPr="00A03D28">
        <w:t xml:space="preserve"> модулирует метаболизм оксилипина, скорее всего, не как противовоспалительное вещество. В то время как </w:t>
      </w:r>
      <w:r w:rsidR="00E46D23">
        <w:t>ВМГК</w:t>
      </w:r>
      <w:r w:rsidRPr="00A03D28">
        <w:t xml:space="preserve"> в основном влияет на </w:t>
      </w:r>
      <w:r w:rsidR="004A2A7A">
        <w:t>LPS</w:t>
      </w:r>
      <w:r w:rsidRPr="00A03D28">
        <w:t xml:space="preserve">-опосредованные ответы астроцитов, </w:t>
      </w:r>
      <w:r w:rsidR="00E46D23">
        <w:t>НМГК</w:t>
      </w:r>
      <w:r w:rsidRPr="00A03D28">
        <w:t xml:space="preserve"> влияет на PIC-опосредованные ответы. Он</w:t>
      </w:r>
      <w:r w:rsidR="00E80A3B">
        <w:t>а</w:t>
      </w:r>
      <w:r w:rsidRPr="00A03D28">
        <w:t xml:space="preserve"> уменьшал</w:t>
      </w:r>
      <w:r w:rsidR="00E80A3B">
        <w:t>а</w:t>
      </w:r>
      <w:r w:rsidRPr="00A03D28">
        <w:t xml:space="preserve"> опосредованную агонистами экспрессию </w:t>
      </w:r>
      <w:r w:rsidR="00CD0F2C">
        <w:t>TNFа</w:t>
      </w:r>
      <w:r w:rsidRPr="00A03D28">
        <w:t xml:space="preserve"> и IL-10 после длительной инкубации, снижал</w:t>
      </w:r>
      <w:r w:rsidR="00E80A3B">
        <w:t>а</w:t>
      </w:r>
      <w:r w:rsidRPr="00A03D28">
        <w:t xml:space="preserve"> экспрессию </w:t>
      </w:r>
      <w:r w:rsidR="00E80A3B">
        <w:rPr>
          <w:lang w:val="en-US"/>
        </w:rPr>
        <w:t>COX</w:t>
      </w:r>
      <w:r w:rsidR="00CD0F2C">
        <w:t>-2</w:t>
      </w:r>
      <w:r w:rsidRPr="00A03D28">
        <w:t xml:space="preserve"> и снижал</w:t>
      </w:r>
      <w:r w:rsidR="00E80A3B">
        <w:t>а</w:t>
      </w:r>
      <w:r w:rsidRPr="00A03D28">
        <w:t xml:space="preserve"> метаболизм оксилипинов. Эти данные показывают необычное </w:t>
      </w:r>
      <w:r w:rsidR="008B6205">
        <w:t>воз</w:t>
      </w:r>
      <w:r w:rsidRPr="00A03D28">
        <w:t xml:space="preserve">действие ГК на TLR-опосредованную передачу сигналов </w:t>
      </w:r>
      <w:r w:rsidR="008B6205" w:rsidRPr="00A03D28">
        <w:t xml:space="preserve">в астроцитах </w:t>
      </w:r>
      <w:r w:rsidRPr="00A03D28">
        <w:t xml:space="preserve">по сравнению с другими типами клеток. Наши данные касаются особых регуляторных элементов в астроцитах, а также более сложной связи между </w:t>
      </w:r>
      <w:r w:rsidR="00113102">
        <w:t>ГК</w:t>
      </w:r>
      <w:r w:rsidRPr="00A03D28">
        <w:t xml:space="preserve"> и TLR-опосредованными клеточными ответами. Имеется лишь несколько данных о </w:t>
      </w:r>
      <w:r w:rsidR="00113102">
        <w:t>ГК</w:t>
      </w:r>
      <w:r w:rsidRPr="00A03D28">
        <w:t>-модуляции TLR3-опосредованных ответов. Было показано, что присутствие олиго-</w:t>
      </w:r>
      <w:r w:rsidR="00113102">
        <w:t>ГК</w:t>
      </w:r>
      <w:r w:rsidRPr="00A03D28">
        <w:t xml:space="preserve"> подавляет PIC-индуцированное высвобождение IL-6 и экспрессию мРНК </w:t>
      </w:r>
      <w:r w:rsidR="00CD0F2C">
        <w:t>TNFа</w:t>
      </w:r>
      <w:r w:rsidRPr="00A03D28">
        <w:t xml:space="preserve"> в макрофагах, тогда как сигнальный путь TLR4 участвует в проявленных эффектах </w:t>
      </w:r>
      <w:r w:rsidR="00113102">
        <w:t>ГК</w:t>
      </w:r>
      <w:r w:rsidRPr="00A03D28">
        <w:t xml:space="preserve"> [37]. Наши данные согласуются с этим предположением, поскольку только длительное воздействие </w:t>
      </w:r>
      <w:r w:rsidR="00E46D23">
        <w:t>НМГК</w:t>
      </w:r>
      <w:r w:rsidRPr="00A03D28">
        <w:t xml:space="preserve"> приводило к подавлению PIC-индуцированной экспрессии </w:t>
      </w:r>
      <w:r w:rsidR="00CD0F2C">
        <w:t>TNFа</w:t>
      </w:r>
      <w:r w:rsidRPr="00A03D28">
        <w:t>.</w:t>
      </w:r>
    </w:p>
    <w:p w:rsidR="00A03D28" w:rsidRDefault="00A03D28" w:rsidP="001761DE">
      <w:pPr>
        <w:jc w:val="both"/>
      </w:pPr>
      <w:r w:rsidRPr="00A03D28">
        <w:t xml:space="preserve">При оценке влияния </w:t>
      </w:r>
      <w:r w:rsidR="00E46D23">
        <w:t>НМГК</w:t>
      </w:r>
      <w:r w:rsidRPr="00A03D28">
        <w:t xml:space="preserve"> и </w:t>
      </w:r>
      <w:r w:rsidR="00E46D23">
        <w:t>ВМГК</w:t>
      </w:r>
      <w:r w:rsidRPr="00A03D28">
        <w:t xml:space="preserve"> на профили оксилипина мы также выявили некоторые особенности чувствительности астроцитов к </w:t>
      </w:r>
      <w:r w:rsidR="00E46D23">
        <w:t>НМГК</w:t>
      </w:r>
      <w:r w:rsidRPr="00A03D28">
        <w:t xml:space="preserve"> и </w:t>
      </w:r>
      <w:r w:rsidR="00E46D23">
        <w:t>ВМГК</w:t>
      </w:r>
      <w:r w:rsidRPr="00A03D28">
        <w:t xml:space="preserve"> по сравнению с макрофагами и </w:t>
      </w:r>
      <w:r w:rsidRPr="00A03D28">
        <w:lastRenderedPageBreak/>
        <w:t xml:space="preserve">микроглией. Действительно, ранее было показано, что </w:t>
      </w:r>
      <w:r w:rsidR="00E46D23">
        <w:t>НМГК</w:t>
      </w:r>
      <w:r w:rsidRPr="00A03D28">
        <w:t xml:space="preserve"> активирует экспрессию </w:t>
      </w:r>
      <w:r w:rsidR="002D320B">
        <w:rPr>
          <w:lang w:val="en-US"/>
        </w:rPr>
        <w:t>COX</w:t>
      </w:r>
      <w:r w:rsidR="00CD0F2C">
        <w:t>-2</w:t>
      </w:r>
      <w:r w:rsidRPr="00A03D28">
        <w:t xml:space="preserve"> и продукцию PGE2 в моноцитах человека через путь TLR4</w:t>
      </w:r>
      <w:r w:rsidR="001761DE">
        <w:t>/</w:t>
      </w:r>
      <w:r w:rsidRPr="00A03D28">
        <w:t xml:space="preserve">MYD88 [29], в то время как </w:t>
      </w:r>
      <w:r w:rsidR="00E46D23">
        <w:t>ВМГК</w:t>
      </w:r>
      <w:r w:rsidRPr="00A03D28">
        <w:t xml:space="preserve"> подавляет </w:t>
      </w:r>
      <w:r w:rsidR="004A2A7A">
        <w:t>LPS</w:t>
      </w:r>
      <w:r w:rsidRPr="00A03D28">
        <w:t xml:space="preserve">-индуцированную экспрессию </w:t>
      </w:r>
      <w:r w:rsidR="002D320B">
        <w:rPr>
          <w:lang w:val="en-US"/>
        </w:rPr>
        <w:t>COX</w:t>
      </w:r>
      <w:r w:rsidR="00CD0F2C">
        <w:t>-2</w:t>
      </w:r>
      <w:r w:rsidRPr="00A03D28">
        <w:t xml:space="preserve"> и продукцию PGE2 в макрофагах U937 посредством подавлени</w:t>
      </w:r>
      <w:r w:rsidR="002D320B">
        <w:t>я</w:t>
      </w:r>
      <w:r w:rsidRPr="00A03D28">
        <w:t xml:space="preserve"> NF-</w:t>
      </w:r>
      <w:r w:rsidR="002D320B">
        <w:rPr>
          <w:lang w:val="en-US"/>
        </w:rPr>
        <w:t>k</w:t>
      </w:r>
      <w:r w:rsidRPr="00A03D28">
        <w:t xml:space="preserve">B [38]. Мы обнаружили сходство между </w:t>
      </w:r>
      <w:r w:rsidR="00E46D23">
        <w:t>НМГК</w:t>
      </w:r>
      <w:r w:rsidRPr="00A03D28">
        <w:t xml:space="preserve"> и </w:t>
      </w:r>
      <w:r w:rsidR="00E46D23">
        <w:t>ВМГК</w:t>
      </w:r>
      <w:r w:rsidRPr="00A03D28">
        <w:t xml:space="preserve"> в астроцитах. Не было никакого влияния на </w:t>
      </w:r>
      <w:r w:rsidR="004A2A7A">
        <w:t>LPS</w:t>
      </w:r>
      <w:r w:rsidRPr="00A03D28">
        <w:t xml:space="preserve">-индуцированную экспрессию </w:t>
      </w:r>
      <w:r w:rsidR="002D320B">
        <w:rPr>
          <w:lang w:val="en-US"/>
        </w:rPr>
        <w:t>COX</w:t>
      </w:r>
      <w:r w:rsidR="00CD0F2C">
        <w:t>-2</w:t>
      </w:r>
      <w:r w:rsidRPr="00A03D28">
        <w:t xml:space="preserve">, но наблюдалось значительное снижение PIC-стимулированной экспрессии </w:t>
      </w:r>
      <w:r w:rsidR="002D320B">
        <w:rPr>
          <w:lang w:val="en-US"/>
        </w:rPr>
        <w:t>COX</w:t>
      </w:r>
      <w:r w:rsidR="00CD0F2C">
        <w:t>-2</w:t>
      </w:r>
      <w:r w:rsidRPr="00A03D28">
        <w:t xml:space="preserve">, что сопровождалось изменениями в синтезе оксилипина. Важно отметить, что это первое исследование влияния </w:t>
      </w:r>
      <w:r w:rsidR="00113102">
        <w:t>ГК</w:t>
      </w:r>
      <w:r w:rsidRPr="00A03D28">
        <w:t xml:space="preserve"> на профили оксилипина, и многие обнаруженные метаболиты все еще не </w:t>
      </w:r>
      <w:r w:rsidR="002D320B">
        <w:t>описаны</w:t>
      </w:r>
      <w:r w:rsidRPr="00A03D28">
        <w:t xml:space="preserve"> </w:t>
      </w:r>
      <w:r w:rsidR="008B6205">
        <w:t>в условиях</w:t>
      </w:r>
      <w:r w:rsidRPr="00A03D28">
        <w:t xml:space="preserve"> модуляции функции астроцитов. </w:t>
      </w:r>
      <w:r w:rsidR="002D320B">
        <w:t>Р</w:t>
      </w:r>
      <w:r w:rsidR="002D320B" w:rsidRPr="00A03D28">
        <w:t>анее</w:t>
      </w:r>
      <w:r w:rsidR="002D320B">
        <w:t xml:space="preserve"> п</w:t>
      </w:r>
      <w:r w:rsidR="002D320B" w:rsidRPr="00A03D28">
        <w:t xml:space="preserve">роизводные АК </w:t>
      </w:r>
      <w:r w:rsidRPr="00A03D28">
        <w:t xml:space="preserve">были </w:t>
      </w:r>
      <w:r w:rsidR="008B6205">
        <w:t>б</w:t>
      </w:r>
      <w:r w:rsidR="008B6205" w:rsidRPr="00A03D28">
        <w:t>олее</w:t>
      </w:r>
      <w:r w:rsidR="008B6205">
        <w:t>-</w:t>
      </w:r>
      <w:r w:rsidR="008B6205" w:rsidRPr="00A03D28">
        <w:t xml:space="preserve">менее </w:t>
      </w:r>
      <w:r w:rsidRPr="00A03D28">
        <w:t xml:space="preserve">протестированы на астроцитах, и в настоящее время обсуждается возможность кооперативного действия различных метаболитов [25]. Тем не менее, имеющиеся данные позволяют сделать вывод, что и </w:t>
      </w:r>
      <w:r w:rsidR="00E46D23">
        <w:t>НМГК</w:t>
      </w:r>
      <w:r w:rsidRPr="00A03D28">
        <w:t xml:space="preserve">, и </w:t>
      </w:r>
      <w:r w:rsidR="00E46D23">
        <w:t>ВМГК</w:t>
      </w:r>
      <w:r w:rsidRPr="00A03D28">
        <w:t xml:space="preserve"> модулируют метаболизм оксилипинов через все три ветви (COX, LOX, CYP). Тестируемые ГК не только модулируют TLR-опосредованный синтез оксилипина, но также обладают собственными эффектами, когда их добавляют отдельно. Этот вывод согласуется с данными длительного применения, которые выявляют изменения в профилях оксилипина.</w:t>
      </w:r>
    </w:p>
    <w:p w:rsidR="00A03D28" w:rsidRDefault="00A03D28" w:rsidP="001761DE">
      <w:pPr>
        <w:jc w:val="both"/>
      </w:pPr>
      <w:r w:rsidRPr="00A03D28">
        <w:t xml:space="preserve">Воспалительный ответ обычно называют иммунным процессом, инициируемым на уровне клеточных </w:t>
      </w:r>
      <w:r w:rsidR="002D320B">
        <w:t>групп</w:t>
      </w:r>
      <w:r w:rsidRPr="00A03D28">
        <w:t xml:space="preserve"> при изменениях гомеостаза, вызванных инвазией патогенов бактериального, грибкового, простейшего или вирусного происхождения, стерильными повреждениями или значительным дисбалансом метаболических профилей [39]. Ранее воспалительный ответ приписывали клеткам иммунного происхождения, то есть клеткам микроглии в ткани мозга [15]. Важным результатом исследований молекулярных механизмов, лежащих в основе воспаления, было то, что воспалительный ответ </w:t>
      </w:r>
      <w:r w:rsidR="008B6205">
        <w:t>–</w:t>
      </w:r>
      <w:r w:rsidRPr="00A03D28">
        <w:t xml:space="preserve"> это не специализированная функция клеток гемопоэтического происхождения (макрофаги, нейтрофилы, лимфоциты и т. </w:t>
      </w:r>
      <w:r w:rsidR="008B6205">
        <w:t>д</w:t>
      </w:r>
      <w:r w:rsidRPr="00A03D28">
        <w:t xml:space="preserve">.), </w:t>
      </w:r>
      <w:r w:rsidR="002D320B">
        <w:t>но</w:t>
      </w:r>
      <w:r w:rsidRPr="00A03D28">
        <w:t xml:space="preserve"> скорее</w:t>
      </w:r>
      <w:r w:rsidR="002D320B">
        <w:t xml:space="preserve"> всего</w:t>
      </w:r>
      <w:r w:rsidRPr="00A03D28">
        <w:t xml:space="preserve">, фундаментальный атрибут всех типов клеток. Действительно, воспалительная активация астроцитов причастна к различным заболеваниям ЦНС, включая рассеянный склероз, деменцию, связанную с вирусом иммунодефицита человека, болезни Альцгеймера и Паркинсона [40]. </w:t>
      </w:r>
      <w:r w:rsidR="002D320B">
        <w:t>Таким образом</w:t>
      </w:r>
      <w:r w:rsidRPr="00A03D28">
        <w:t xml:space="preserve">, понимание специфики регуляции воспалительного ответа важно для разработки терапевтических подходов к лечению этих патологий. Наши результаты позволяют </w:t>
      </w:r>
      <w:r w:rsidR="008B6205" w:rsidRPr="00A03D28">
        <w:t xml:space="preserve">еще раз </w:t>
      </w:r>
      <w:r w:rsidRPr="00A03D28">
        <w:t xml:space="preserve">подчеркнуть специфику процессов врожденного иммунитета в астроцитах. Мы продемонстрировали связь между </w:t>
      </w:r>
      <w:r w:rsidR="00113102">
        <w:t>ГК</w:t>
      </w:r>
      <w:r w:rsidRPr="00A03D28">
        <w:t xml:space="preserve"> и TLR-опосредованными ответами в астроцитах. Эта связь довольно сложна и включает механизмы, которые позволяют модулировать про- и противовоспалительные цитокины и синтез оксилипина с участием метаболической ветви </w:t>
      </w:r>
      <w:r w:rsidR="002D320B">
        <w:rPr>
          <w:lang w:val="en-US"/>
        </w:rPr>
        <w:t>COX</w:t>
      </w:r>
      <w:r w:rsidRPr="00A03D28">
        <w:t xml:space="preserve"> арахидоновых кислот и липоксигеназной ветви метаболизма </w:t>
      </w:r>
      <w:r w:rsidR="00CD0F2C">
        <w:t>ДГК</w:t>
      </w:r>
      <w:r w:rsidRPr="00A03D28">
        <w:t xml:space="preserve">. Точные молекулярные механизмы этой связи являются предметом дальнейших исследований, но нет никаких сомнений в том, что </w:t>
      </w:r>
      <w:r w:rsidR="00113102">
        <w:t>ГК</w:t>
      </w:r>
      <w:r w:rsidRPr="00A03D28">
        <w:t xml:space="preserve">, как в </w:t>
      </w:r>
      <w:r w:rsidR="007754D2">
        <w:t>низкомолекулярной</w:t>
      </w:r>
      <w:r w:rsidRPr="00A03D28">
        <w:t xml:space="preserve">, так и в </w:t>
      </w:r>
      <w:r w:rsidR="007754D2">
        <w:t>высокомолекулярной</w:t>
      </w:r>
      <w:r w:rsidRPr="00A03D28">
        <w:t xml:space="preserve"> формах, играет важную роль в сигнальном пути TLR в астроцитах, хотя эта роль не просто анти-воспалительн</w:t>
      </w:r>
      <w:r w:rsidR="002D320B">
        <w:t>ого</w:t>
      </w:r>
      <w:r w:rsidRPr="00A03D28">
        <w:t xml:space="preserve"> тип</w:t>
      </w:r>
      <w:r w:rsidR="002D320B">
        <w:t>а</w:t>
      </w:r>
      <w:r w:rsidRPr="00A03D28">
        <w:t xml:space="preserve"> для </w:t>
      </w:r>
      <w:r w:rsidR="00E46D23">
        <w:t>ВМГК</w:t>
      </w:r>
      <w:r w:rsidRPr="00A03D28">
        <w:t xml:space="preserve"> или провоспалительн</w:t>
      </w:r>
      <w:r w:rsidR="00DC286B">
        <w:t>ого</w:t>
      </w:r>
      <w:r w:rsidRPr="00A03D28">
        <w:t xml:space="preserve"> для </w:t>
      </w:r>
      <w:r w:rsidR="00E46D23">
        <w:t>НМГК</w:t>
      </w:r>
      <w:r w:rsidRPr="00A03D28">
        <w:t>.</w:t>
      </w:r>
    </w:p>
    <w:p w:rsidR="008B6205" w:rsidRDefault="008B6205" w:rsidP="001761DE">
      <w:pPr>
        <w:jc w:val="both"/>
      </w:pPr>
    </w:p>
    <w:p w:rsidR="00A03D28" w:rsidRDefault="008B6205" w:rsidP="001761DE">
      <w:pPr>
        <w:jc w:val="both"/>
      </w:pPr>
      <w:r>
        <w:t>4. Материалы и методы</w:t>
      </w:r>
    </w:p>
    <w:p w:rsidR="00A03D28" w:rsidRDefault="00A03D28" w:rsidP="001761DE">
      <w:pPr>
        <w:jc w:val="both"/>
      </w:pPr>
      <w:r>
        <w:t>4.1. Реагенты</w:t>
      </w:r>
    </w:p>
    <w:p w:rsidR="00A03D28" w:rsidRDefault="00A03D28" w:rsidP="001761DE">
      <w:pPr>
        <w:jc w:val="both"/>
      </w:pPr>
      <w:r>
        <w:t>Липополисахарид (</w:t>
      </w:r>
      <w:r w:rsidR="004A2A7A">
        <w:t>LPS</w:t>
      </w:r>
      <w:r>
        <w:t xml:space="preserve">) (Sigma-Aldrich, каталожный номер L2630 Сент-Луис, Миссури, США), Poly I: C (PIC) (каталожный номер tlrl-pic, InvivoGen, Сан-Диего, Калифорния, США) стрептомицин-пенициллин (каталожный номер A063), трипсин (каталожный номер P037), ЭДТА, фетальная бычья сыворотка (каталожный номер BS-110/500) </w:t>
      </w:r>
      <w:r w:rsidR="00DC286B">
        <w:t>производства</w:t>
      </w:r>
      <w:r>
        <w:t xml:space="preserve"> ПанЭко (Москва, Россия). Питательная </w:t>
      </w:r>
      <w:r>
        <w:lastRenderedPageBreak/>
        <w:t xml:space="preserve">среда Dulbecco’s Modified Eagle Medium (DMEM) (каталожный номер 21885-025) (Gibco, Thermo Fisher Scientific, Уолтем, Массачусетс, США). Гиалуроновая кислота с высоким молекулярным весом (1,01–1,8 МДа, </w:t>
      </w:r>
      <w:r w:rsidR="00E46D23">
        <w:t>ВМГК</w:t>
      </w:r>
      <w:r>
        <w:t xml:space="preserve">) (гиалуронат натрия по каталогу </w:t>
      </w:r>
      <w:r w:rsidR="00113102">
        <w:t>ГК</w:t>
      </w:r>
      <w:r>
        <w:t xml:space="preserve">15M-1) и гиалуроновая кислота с низким молекулярным весом (41–65 кДа, </w:t>
      </w:r>
      <w:r w:rsidR="00E46D23">
        <w:t>НМГК</w:t>
      </w:r>
      <w:r>
        <w:t xml:space="preserve">) (гиалуронат натрия по каталогу </w:t>
      </w:r>
      <w:r w:rsidR="00113102">
        <w:t>ГК</w:t>
      </w:r>
      <w:r>
        <w:t xml:space="preserve">40K-1) были получены от Lifecore biomedical (Миннесота, США). Антитела против </w:t>
      </w:r>
      <w:r w:rsidR="00DC286B">
        <w:rPr>
          <w:lang w:val="en-US"/>
        </w:rPr>
        <w:t>COX</w:t>
      </w:r>
      <w:r>
        <w:t xml:space="preserve">-2 (Cell Signaling Technology, D5H5, каталожный номер 12282, Данверс, Массачусетс, США) и </w:t>
      </w:r>
      <w:r w:rsidR="00AA74E2">
        <w:t>β</w:t>
      </w:r>
      <w:r>
        <w:t>-</w:t>
      </w:r>
      <w:r w:rsidR="00DC286B">
        <w:t>т</w:t>
      </w:r>
      <w:r>
        <w:t xml:space="preserve">убулина (Sigma Chemicals, Тауфкирхен, Германия), вторичных антител, конъюгированных с пероксидазой хрена (антикроличьи, антимышиные и </w:t>
      </w:r>
      <w:r w:rsidR="008B6205">
        <w:t>анти</w:t>
      </w:r>
      <w:r w:rsidR="00DC286B">
        <w:t>козьи</w:t>
      </w:r>
      <w:r>
        <w:t xml:space="preserve">) (SCBT и CST), субстрат для вестерн-блоттинга ECL (Thermo Fisher Scientific, каталожный номер 32209, Уолтем, Массачусетс, США) и наборы для ELISA для </w:t>
      </w:r>
      <w:r w:rsidR="00CD0F2C">
        <w:t>TNFа</w:t>
      </w:r>
      <w:r>
        <w:t xml:space="preserve"> (каталожный номер KRC3012) и IL-10 (кат. № BMS629) (InvivoGen, Сан-Диего, Калифорния, США). Стандарты оксилипинов были следующими: тетранор-PGEM-d6 (каталожный номер 314840), 6-кето PGF1</w:t>
      </w:r>
      <w:r w:rsidR="00DC286B">
        <w:rPr>
          <w:lang w:val="en-US"/>
        </w:rPr>
        <w:t>a</w:t>
      </w:r>
      <w:r>
        <w:t>-d4 (каталожный номер 315210), TXB2-d4 (каталожный номер 319030), PGF2</w:t>
      </w:r>
      <w:r w:rsidR="00DC286B">
        <w:rPr>
          <w:lang w:val="en-US"/>
        </w:rPr>
        <w:t>a</w:t>
      </w:r>
      <w:r>
        <w:t>-d4 (кат. № 316010), PGE2-d4 (№ по каталогу 314010), PGD2-d4 (№ по каталогу 312010), лейкотриен (LT) C4-d5 (№ по каталогу 10006198), LTB4-d4 (№ по каталогу 320110), 5(S)-HETE-d8 (каталожный номер 334230), 12 (S)-HETE-d8 (каталожный номер 334570), 15(S)-HETE-d8 (каталожный номер 334720), PAF C16-d4 (каталожный номер 10010229), олеоилэтаноламид-d4 (каталожный номер 9000552), PGA2-d4 (каталожный номер 310210) Cayman Chemical, Ann Arbor, MI, USA). Картридж Oasis PRIME HLB (60 мг, 3 см3, каталожный номер 186008056) был</w:t>
      </w:r>
      <w:r w:rsidR="00DC286B">
        <w:t>и</w:t>
      </w:r>
      <w:r>
        <w:t xml:space="preserve"> получен</w:t>
      </w:r>
      <w:r w:rsidR="00DC286B">
        <w:t>ы</w:t>
      </w:r>
      <w:r>
        <w:t xml:space="preserve"> от Waters, </w:t>
      </w:r>
      <w:r w:rsidR="008B6205">
        <w:t>Эшборн</w:t>
      </w:r>
      <w:r>
        <w:t xml:space="preserve">, </w:t>
      </w:r>
      <w:r w:rsidR="008B6205">
        <w:t>Германия</w:t>
      </w:r>
      <w:r>
        <w:t>.</w:t>
      </w:r>
    </w:p>
    <w:p w:rsidR="00A03D28" w:rsidRDefault="00A03D28" w:rsidP="001761DE">
      <w:pPr>
        <w:jc w:val="both"/>
      </w:pPr>
      <w:r>
        <w:t>4.2. Первичная клеточная культура</w:t>
      </w:r>
    </w:p>
    <w:p w:rsidR="00A03D28" w:rsidRDefault="00A03D28" w:rsidP="001761DE">
      <w:pPr>
        <w:jc w:val="both"/>
      </w:pPr>
      <w:r>
        <w:t xml:space="preserve">Клетки были получены от одно- или двухдневных крысят линии Вистар. Все экспериментальные процедуры были выполнены в соответствии с руководящими принципами Европейской конвенции о защите позвоночных животных, используемых в экспериментальных и других научных целях, и были одобрены Комитетом по биоэтике (Протокол 2/13 от 8 апреля 2013 г.) </w:t>
      </w:r>
      <w:r w:rsidR="00DC286B">
        <w:t>Биологического факультета</w:t>
      </w:r>
      <w:r>
        <w:t xml:space="preserve"> МГУ. Культуры первичных астроцитов крыс получали от новорожденных крыс обоего пола, как </w:t>
      </w:r>
      <w:r w:rsidR="008B6205">
        <w:t>было описано</w:t>
      </w:r>
      <w:r>
        <w:t xml:space="preserve"> ранее [28]. Вкратце, мозг обезглавленных детенышей промывали ледяным раствором Пака (137,0 мМ NaCl, 5,4 мМ KCl, 0,44 мМ KH</w:t>
      </w:r>
      <w:r w:rsidRPr="00410A4B">
        <w:rPr>
          <w:vertAlign w:val="subscript"/>
        </w:rPr>
        <w:t>2</w:t>
      </w:r>
      <w:r>
        <w:t>PO</w:t>
      </w:r>
      <w:r w:rsidRPr="00410A4B">
        <w:rPr>
          <w:vertAlign w:val="subscript"/>
        </w:rPr>
        <w:t>4</w:t>
      </w:r>
      <w:r>
        <w:t>, 0,3 мМ Na</w:t>
      </w:r>
      <w:r w:rsidRPr="00410A4B">
        <w:rPr>
          <w:vertAlign w:val="subscript"/>
        </w:rPr>
        <w:t>2</w:t>
      </w:r>
      <w:r>
        <w:t>HPO</w:t>
      </w:r>
      <w:r w:rsidRPr="00410A4B">
        <w:rPr>
          <w:vertAlign w:val="subscript"/>
        </w:rPr>
        <w:t>4</w:t>
      </w:r>
      <w:r>
        <w:t xml:space="preserve"> и 5,5 мМ глюкозы, pH 7,4) и растирали с нейлоновыми сетками с порами 250 и 136 </w:t>
      </w:r>
      <w:r w:rsidR="00134F06">
        <w:t>мк</w:t>
      </w:r>
      <w:r>
        <w:t>м в последовательном порядке. Диссоциированные клетки помещали в культуральные колбы площадью 75 см</w:t>
      </w:r>
      <w:r w:rsidRPr="00410A4B">
        <w:rPr>
          <w:vertAlign w:val="superscript"/>
        </w:rPr>
        <w:t>2</w:t>
      </w:r>
      <w:r>
        <w:t xml:space="preserve"> при плотности 6</w:t>
      </w:r>
      <w:r w:rsidR="00410A4B">
        <w:t>х</w:t>
      </w:r>
      <w:r>
        <w:t>10</w:t>
      </w:r>
      <w:r w:rsidRPr="00410A4B">
        <w:rPr>
          <w:vertAlign w:val="superscript"/>
        </w:rPr>
        <w:t>5</w:t>
      </w:r>
      <w:r>
        <w:t xml:space="preserve"> клеток на мл. Затем клетки культивировали в среде DMEM (1 г</w:t>
      </w:r>
      <w:r w:rsidR="001761DE">
        <w:t>/</w:t>
      </w:r>
      <w:r>
        <w:t>л D-глюкозы, 10% бычьей эмбриональной сыворотки [FBS], 50 единиц</w:t>
      </w:r>
      <w:r w:rsidR="001761DE">
        <w:t>/</w:t>
      </w:r>
      <w:r>
        <w:t>мл стрептомицина, 50 мкг</w:t>
      </w:r>
      <w:r w:rsidR="001761DE">
        <w:t>/</w:t>
      </w:r>
      <w:r>
        <w:t>мл пенициллина) при 37°C и 10% CO</w:t>
      </w:r>
      <w:r w:rsidRPr="00410A4B">
        <w:rPr>
          <w:vertAlign w:val="subscript"/>
        </w:rPr>
        <w:t>2</w:t>
      </w:r>
      <w:r>
        <w:t xml:space="preserve">. После пяти дней культивирования в DMEM культуральную среду заменяли свежей средой, и колбы помещали </w:t>
      </w:r>
      <w:r w:rsidR="00134F06">
        <w:t>в шейкер</w:t>
      </w:r>
      <w:r>
        <w:t xml:space="preserve"> со скоростью 200 об</w:t>
      </w:r>
      <w:r w:rsidR="001761DE">
        <w:t>/</w:t>
      </w:r>
      <w:r>
        <w:t xml:space="preserve">мин на 4 часа для диссоциации клеток микроглии. Среду, содержащую микроглию, отбрасывали и </w:t>
      </w:r>
      <w:r w:rsidR="00410A4B">
        <w:t xml:space="preserve">выращивали </w:t>
      </w:r>
      <w:r>
        <w:t>обогащенные астроцитами культуры в течение следующих четырех дней, среду заменяли каждые два дня. Затем клетки промывали фосфатно-солевым буферным раствором, отделяли от пластика раствором трипсин-EGTA</w:t>
      </w:r>
      <w:r w:rsidR="00134F06">
        <w:t>,</w:t>
      </w:r>
      <w:r>
        <w:t xml:space="preserve"> помещали в шестилуночные планшеты и выдерживали в течение двух дней в среде DMEM. После этого среду заменяли средой того же состава и </w:t>
      </w:r>
      <w:r w:rsidR="00410A4B">
        <w:t xml:space="preserve">использовали </w:t>
      </w:r>
      <w:r>
        <w:t xml:space="preserve">клетки для экспериментов. Стимуляцию </w:t>
      </w:r>
      <w:r w:rsidR="004A2A7A">
        <w:t>LPS</w:t>
      </w:r>
      <w:r>
        <w:t xml:space="preserve"> проводили на мужских и женских астроцитах (100 нг</w:t>
      </w:r>
      <w:r w:rsidR="001761DE">
        <w:t>/</w:t>
      </w:r>
      <w:r>
        <w:t xml:space="preserve">мл, 4 ч). Дозировка </w:t>
      </w:r>
      <w:r w:rsidR="004A2A7A">
        <w:t>LPS</w:t>
      </w:r>
      <w:r>
        <w:t xml:space="preserve"> была выбрана на основании наших предыдущих исследований [16,41]. В предварительных исследованиях </w:t>
      </w:r>
      <w:r w:rsidR="00410A4B">
        <w:t xml:space="preserve">выполняли </w:t>
      </w:r>
      <w:r>
        <w:t xml:space="preserve">анализ МТТ </w:t>
      </w:r>
      <w:r w:rsidR="00410A4B">
        <w:rPr>
          <w:rFonts w:ascii="Calibri" w:hAnsi="Calibri" w:cs="Calibri"/>
        </w:rPr>
        <w:t>-</w:t>
      </w:r>
      <w:r>
        <w:t xml:space="preserve"> (3-[4-диметилтиазол-2-</w:t>
      </w:r>
      <w:r w:rsidR="00410A4B">
        <w:rPr>
          <w:lang w:val="en-US"/>
        </w:rPr>
        <w:t>yl</w:t>
      </w:r>
      <w:r>
        <w:t xml:space="preserve">]-2,5-дифенилтетразолий бромид) (Sigma Aldrich, Сент-Луис, Миссури, США) в соответствии с протоколом производителя для </w:t>
      </w:r>
      <w:r w:rsidR="00E46D23">
        <w:t>ВМГК</w:t>
      </w:r>
      <w:r>
        <w:t xml:space="preserve"> и анализ токсичности </w:t>
      </w:r>
      <w:r w:rsidR="00E46D23">
        <w:t>НМГК</w:t>
      </w:r>
      <w:r>
        <w:t xml:space="preserve"> (рис</w:t>
      </w:r>
      <w:r w:rsidR="00410A4B">
        <w:t>.</w:t>
      </w:r>
      <w:r>
        <w:t xml:space="preserve"> S2). Вкратце, астроциты после обработки </w:t>
      </w:r>
      <w:r w:rsidR="00113102">
        <w:t>ГК</w:t>
      </w:r>
      <w:r>
        <w:t xml:space="preserve"> высевали в 96-луночные планшеты. После культивирования в стандартных условиях астроциты инкубировали с </w:t>
      </w:r>
      <w:r w:rsidR="00E46D23">
        <w:t>ВМГК</w:t>
      </w:r>
      <w:r>
        <w:t xml:space="preserve"> (450 г</w:t>
      </w:r>
      <w:r w:rsidR="001761DE">
        <w:t>/</w:t>
      </w:r>
      <w:r>
        <w:t xml:space="preserve">мл) и </w:t>
      </w:r>
      <w:r w:rsidR="00E46D23">
        <w:t>НМГК</w:t>
      </w:r>
      <w:r>
        <w:t xml:space="preserve"> (450 г</w:t>
      </w:r>
      <w:r w:rsidR="001761DE">
        <w:t>/</w:t>
      </w:r>
      <w:r>
        <w:t>мл). Через 48 часов в каждую лунку добавляли 10 мкл раствора МТТ (5 мг</w:t>
      </w:r>
      <w:r w:rsidR="001761DE">
        <w:t>/</w:t>
      </w:r>
      <w:r>
        <w:t xml:space="preserve">мл в PBS), а затем </w:t>
      </w:r>
      <w:r>
        <w:lastRenderedPageBreak/>
        <w:t xml:space="preserve">инкубировали еще 4 часа. Затем супернатант сливали и в каждую лунку добавляли 100 мкл </w:t>
      </w:r>
      <w:r w:rsidR="00410A4B">
        <w:rPr>
          <w:lang w:val="en-US"/>
        </w:rPr>
        <w:t>DMSO</w:t>
      </w:r>
      <w:r>
        <w:t xml:space="preserve">, встряхивая планшеты в течение 10 мин. </w:t>
      </w:r>
      <w:r w:rsidR="00410A4B">
        <w:t>Для определения оптической плотности использовали п</w:t>
      </w:r>
      <w:r>
        <w:t xml:space="preserve">ланшетный ридер Synergy H4 (BioTek, Winooski, VT, </w:t>
      </w:r>
      <w:r w:rsidR="00410A4B">
        <w:t>США</w:t>
      </w:r>
      <w:r>
        <w:t>) при 570 нм.</w:t>
      </w:r>
    </w:p>
    <w:p w:rsidR="00A03D28" w:rsidRDefault="00A03D28" w:rsidP="001761DE">
      <w:pPr>
        <w:jc w:val="both"/>
      </w:pPr>
      <w:r>
        <w:t>4.3. Измерение относительного уровня экспрессии РНК</w:t>
      </w:r>
    </w:p>
    <w:p w:rsidR="00A03D28" w:rsidRDefault="00134F06" w:rsidP="001761DE">
      <w:pPr>
        <w:jc w:val="both"/>
      </w:pPr>
      <w:r>
        <w:t>Общую</w:t>
      </w:r>
      <w:r w:rsidR="00A03D28">
        <w:t xml:space="preserve"> мРНК выделяли с использованием набора для очистки РНК GeneJET (Thermo Scientific, Walt</w:t>
      </w:r>
      <w:r w:rsidR="00113102">
        <w:t>ГК</w:t>
      </w:r>
      <w:r w:rsidR="00A03D28">
        <w:t xml:space="preserve">m, MA, </w:t>
      </w:r>
      <w:r w:rsidR="00410A4B">
        <w:t>США</w:t>
      </w:r>
      <w:r w:rsidR="00A03D28">
        <w:t xml:space="preserve">). Концентрацию РНК измеряли с помощью прибора Implen NanoPhotometer C. кДНК получали согласно инструкциям производителя с использованием набора MMLV RT (Евроген, Москва, Россия) с олиго-(dT)-праймерами. ПЦР в реальном времени проводили с использованием смеси 5x PCR-HS-SYBR (Евроген, Москва, Россия) и амплификатора DTlite 4 (DNATechnology, Москва, Россия). Последовательности праймеров ПЦР, использованные в этом исследовании, были следующими: </w:t>
      </w:r>
      <w:r w:rsidR="00AA74E2">
        <w:t>β</w:t>
      </w:r>
      <w:r w:rsidR="00A03D28">
        <w:t>-актин: прямой 5</w:t>
      </w:r>
      <w:r w:rsidR="00410A4B" w:rsidRPr="00410A4B">
        <w:t>'</w:t>
      </w:r>
      <w:r w:rsidR="00A03D28">
        <w:t>-TCATCACTATCGGCAATGAGCGGT-3</w:t>
      </w:r>
      <w:r w:rsidR="00410A4B" w:rsidRPr="00410A4B">
        <w:t>'</w:t>
      </w:r>
      <w:r w:rsidR="00A03D28">
        <w:t>, обратный 5</w:t>
      </w:r>
      <w:r w:rsidR="00410A4B" w:rsidRPr="00410A4B">
        <w:t>'</w:t>
      </w:r>
      <w:r w:rsidR="00A03D28">
        <w:t>ACAGCACTGTGTTGGCATAGAGGT3</w:t>
      </w:r>
      <w:r w:rsidR="00410A4B" w:rsidRPr="00410A4B">
        <w:t>'</w:t>
      </w:r>
      <w:r w:rsidR="00A03D28">
        <w:t xml:space="preserve">; </w:t>
      </w:r>
      <w:r w:rsidR="00CD0F2C">
        <w:t>TNFа</w:t>
      </w:r>
      <w:r w:rsidR="00A03D28">
        <w:t>: прямой 5</w:t>
      </w:r>
      <w:r w:rsidR="00410A4B" w:rsidRPr="00410A4B">
        <w:t>'</w:t>
      </w:r>
      <w:r w:rsidR="00A03D28">
        <w:t>-CAAGGAGGAGAAGTTCCCAA-3</w:t>
      </w:r>
      <w:r w:rsidR="00410A4B" w:rsidRPr="00410A4B">
        <w:t>'</w:t>
      </w:r>
      <w:r w:rsidR="00A03D28">
        <w:t xml:space="preserve"> обратный 5</w:t>
      </w:r>
      <w:r w:rsidR="00410A4B" w:rsidRPr="00AF5055">
        <w:t>'</w:t>
      </w:r>
      <w:r w:rsidR="00A03D28">
        <w:t>-TGATCTGAGTGTGAGGGTCTG-3</w:t>
      </w:r>
      <w:r w:rsidR="00AF5055" w:rsidRPr="00AF5055">
        <w:t>'</w:t>
      </w:r>
      <w:r w:rsidR="00A03D28">
        <w:t>; IL-10: прямой 5</w:t>
      </w:r>
      <w:r w:rsidR="00AF5055" w:rsidRPr="00AF5055">
        <w:t>'</w:t>
      </w:r>
      <w:r w:rsidR="00A03D28">
        <w:t>-CCCAGAAATCAAGGAGCATTTG-3</w:t>
      </w:r>
      <w:r w:rsidR="00AF5055" w:rsidRPr="00AF5055">
        <w:t>'</w:t>
      </w:r>
      <w:r w:rsidR="00A03D28">
        <w:t>, обратный 5</w:t>
      </w:r>
      <w:r w:rsidR="00AF5055" w:rsidRPr="00AF5055">
        <w:t>'</w:t>
      </w:r>
      <w:r w:rsidR="00A03D28">
        <w:t>-TCATTCTTCACCTGCTCCAC-3</w:t>
      </w:r>
      <w:r w:rsidR="00AF5055" w:rsidRPr="00AF5055">
        <w:t>'</w:t>
      </w:r>
      <w:r w:rsidR="00A03D28">
        <w:t xml:space="preserve">; IL-6 прямой </w:t>
      </w:r>
      <w:r w:rsidR="00AF5055" w:rsidRPr="00AF5055">
        <w:t>5'</w:t>
      </w:r>
      <w:r w:rsidR="00A03D28">
        <w:t>-CTGGTCTTCTGGAGTTCCGT-3</w:t>
      </w:r>
      <w:r w:rsidR="00AF5055" w:rsidRPr="00AF5055">
        <w:t>'</w:t>
      </w:r>
      <w:r w:rsidR="00A03D28">
        <w:t>, обратный 5</w:t>
      </w:r>
      <w:r w:rsidR="00AF5055" w:rsidRPr="00AF5055">
        <w:t>'</w:t>
      </w:r>
      <w:r w:rsidR="00A03D28">
        <w:t>-TGGTCTTGGTCCTTAGCCAC-3</w:t>
      </w:r>
      <w:r w:rsidR="00AF5055" w:rsidRPr="00AF5055">
        <w:t>'</w:t>
      </w:r>
      <w:r w:rsidR="00A03D28">
        <w:t xml:space="preserve">, iNOS </w:t>
      </w:r>
      <w:r w:rsidR="00AF5055">
        <w:t>прямой 5</w:t>
      </w:r>
      <w:r w:rsidR="00AF5055" w:rsidRPr="00AF5055">
        <w:t>'</w:t>
      </w:r>
      <w:r w:rsidR="00A03D28">
        <w:t>-CCACAATAGTACAATACTACTTGG-3</w:t>
      </w:r>
      <w:r w:rsidR="00AF5055" w:rsidRPr="00AF5055">
        <w:t>'</w:t>
      </w:r>
      <w:r w:rsidR="00A03D28">
        <w:t>, обратный 5</w:t>
      </w:r>
      <w:r w:rsidR="00AF5055" w:rsidRPr="00AF5055">
        <w:t>'</w:t>
      </w:r>
      <w:r w:rsidR="00A03D28">
        <w:t>-ACGAGGTGTTCAGCGTGCTCCACG-3</w:t>
      </w:r>
      <w:r w:rsidR="00AF5055" w:rsidRPr="00AF5055">
        <w:t>'</w:t>
      </w:r>
      <w:r w:rsidR="00A03D28">
        <w:t xml:space="preserve"> температура отжига составляла</w:t>
      </w:r>
      <w:r w:rsidR="00AF5055" w:rsidRPr="00AF5055">
        <w:t xml:space="preserve"> 57</w:t>
      </w:r>
      <w:r w:rsidR="00AF5055">
        <w:rPr>
          <w:rFonts w:cstheme="minorHAnsi"/>
        </w:rPr>
        <w:t>°</w:t>
      </w:r>
      <w:r w:rsidR="00AF5055">
        <w:rPr>
          <w:lang w:val="en-US"/>
        </w:rPr>
        <w:t>C</w:t>
      </w:r>
      <w:r w:rsidR="00AF5055" w:rsidRPr="00AF5055">
        <w:t>.</w:t>
      </w:r>
      <w:r w:rsidR="00A03D28">
        <w:t xml:space="preserve"> Экспрессию каждого гена измеряли в реакциях объемом 25 </w:t>
      </w:r>
      <w:r w:rsidR="00AF5055">
        <w:t>мк</w:t>
      </w:r>
      <w:r w:rsidR="00A03D28">
        <w:t>л с использованием кДНК, синтезированной из 70 нг РНК на реакционную лунку. Относительный уровень экспрессии мРНК определяли методом</w:t>
      </w:r>
      <w:r w:rsidR="00AF5055">
        <w:t xml:space="preserve"> </w:t>
      </w:r>
      <w:r w:rsidR="00AF5055">
        <w:sym w:font="Symbol" w:char="F044"/>
      </w:r>
      <w:r w:rsidR="00AF5055">
        <w:t>С</w:t>
      </w:r>
      <w:r w:rsidR="00AF5055" w:rsidRPr="00AF5055">
        <w:rPr>
          <w:vertAlign w:val="subscript"/>
        </w:rPr>
        <w:sym w:font="Symbol" w:char="F0A1"/>
      </w:r>
      <w:r w:rsidR="00A03D28">
        <w:t xml:space="preserve">. </w:t>
      </w:r>
      <w:r w:rsidR="00AF5055">
        <w:t>В качестве конститутивного гена для нормализации использовали г</w:t>
      </w:r>
      <w:r w:rsidR="00A03D28">
        <w:t xml:space="preserve">ен </w:t>
      </w:r>
      <w:r w:rsidR="00AF5055">
        <w:rPr>
          <w:rFonts w:cstheme="minorHAnsi"/>
        </w:rPr>
        <w:t>β</w:t>
      </w:r>
      <w:r w:rsidR="00A03D28">
        <w:t>-актина. За единицу принимали уровень нормализованной экспрессии гена в контрольных клетках или в стимулированных клетках (указанный непосредственно в тексте).</w:t>
      </w:r>
    </w:p>
    <w:p w:rsidR="00A03D28" w:rsidRDefault="00A03D28" w:rsidP="001761DE">
      <w:pPr>
        <w:jc w:val="both"/>
      </w:pPr>
      <w:r>
        <w:t>4.4. Вестерн-блот анализ</w:t>
      </w:r>
    </w:p>
    <w:p w:rsidR="00A03D28" w:rsidRDefault="00A03D28" w:rsidP="001761DE">
      <w:pPr>
        <w:jc w:val="both"/>
      </w:pPr>
      <w:r>
        <w:t xml:space="preserve">Астроциты лизировали в модифицированном буфере радиоиммунопреципитации (RIPA) (50 мМ </w:t>
      </w:r>
      <w:r w:rsidR="00AA74E2">
        <w:rPr>
          <w:lang w:val="en-US"/>
        </w:rPr>
        <w:t>Tris</w:t>
      </w:r>
      <w:r>
        <w:t>, pH 7,4, 1% NP-40 Sigma Chemicals, 0,25% Na-дезоксихолат, 150 мМ NaCl, 1 мМ EDTA, 1 мМ Na</w:t>
      </w:r>
      <w:r w:rsidRPr="00AA74E2">
        <w:rPr>
          <w:vertAlign w:val="subscript"/>
        </w:rPr>
        <w:t>3</w:t>
      </w:r>
      <w:r>
        <w:t>VO</w:t>
      </w:r>
      <w:r w:rsidRPr="00AA74E2">
        <w:rPr>
          <w:vertAlign w:val="subscript"/>
        </w:rPr>
        <w:t>4</w:t>
      </w:r>
      <w:r>
        <w:t>, 1 мМ NaF) и коктейл</w:t>
      </w:r>
      <w:r w:rsidR="00134F06">
        <w:t>е</w:t>
      </w:r>
      <w:r>
        <w:t xml:space="preserve"> ингибиторов протеаз (Roche Molecular Biochemicals, </w:t>
      </w:r>
      <w:r w:rsidR="00134F06">
        <w:t>Маннхейм</w:t>
      </w:r>
      <w:r>
        <w:t xml:space="preserve">, </w:t>
      </w:r>
      <w:r w:rsidR="00134F06">
        <w:t>Германия</w:t>
      </w:r>
      <w:r>
        <w:t xml:space="preserve">). Концентрацию белка определяли стандартным методом Брэдфорда. Образцы, содержащие 20 г белка в обычном буфере Лэммли, загружали на каждую дорожку 10%-го полиакриламидного геля додецилсульфата натрия и подвергали стандартному SDS-PAGE. После электрофореза белки переносили на нитроцеллюлозную мембрану с размером пор 0,2 мкм. Мембраны блокировали в 10% растворе Rotiblock (Roth, Нюрнберг, Германия) в течение 1 часа, а затем обрабатывали фосфатно-солевым раствором с 0,05% </w:t>
      </w:r>
      <w:r w:rsidR="00AA74E2">
        <w:rPr>
          <w:lang w:val="en-US"/>
        </w:rPr>
        <w:t>Tween</w:t>
      </w:r>
      <w:r>
        <w:t xml:space="preserve"> 20 с соответствующим первичным антителом - анти-</w:t>
      </w:r>
      <w:r w:rsidR="00AA74E2">
        <w:rPr>
          <w:lang w:val="en-US"/>
        </w:rPr>
        <w:t>COX</w:t>
      </w:r>
      <w:r w:rsidR="00CD0F2C">
        <w:t>-2</w:t>
      </w:r>
      <w:r>
        <w:t xml:space="preserve"> (1:2000) при 4°C </w:t>
      </w:r>
      <w:r w:rsidR="00AA74E2">
        <w:t>на всю ночь</w:t>
      </w:r>
      <w:r>
        <w:t>. Вторичные видоспецифические антитела (Dianova, Гамбург, Германия) применяли в концентрации 1:10</w:t>
      </w:r>
      <w:r w:rsidR="00AA74E2">
        <w:t>,</w:t>
      </w:r>
      <w:r>
        <w:t xml:space="preserve">000 в течение 1 ч при комнатной температуре. Конъюгаты визуализировали с использованием хемилюминесцентного субстрата SuperSignal — West Femta (Thermo Scientific). Для анализа β-тубулина мембраны очищали при 21°C в течение 20 мин с помощью буфера для стриппинга RestoreWestern Blot (Pierce, Бонн, Германия). Мембраны повторно зондировали антителом против β-тубулина (1: </w:t>
      </w:r>
      <w:r w:rsidR="00AA74E2">
        <w:t>1</w:t>
      </w:r>
      <w:r>
        <w:t>0</w:t>
      </w:r>
      <w:r w:rsidR="00AA74E2">
        <w:t>,</w:t>
      </w:r>
      <w:r>
        <w:t>000) от Sigma Chemicals и вторичным антимышиным IgG (Dianova, Гамбург, Германия) для контроля белковой нагрузки. Полосы белка визуализировали с помощью хемилюминесцентного субстрата SuperSignal-West Pico (Thermo Scientific). Денситометрию проводили в четырех различных экспериментах. Интенсивность полосы измеряли с использованием калиброванного сигнала денситометра GS-800 и программного обеспечения Quantity One (Bio-Rad, Hercules, Калифорния, США) и нормализовали по интенсивности соответствующих полос, полученных для β-тубулина.</w:t>
      </w:r>
    </w:p>
    <w:p w:rsidR="00A03D28" w:rsidRDefault="00A03D28" w:rsidP="001761DE">
      <w:pPr>
        <w:jc w:val="both"/>
      </w:pPr>
      <w:r>
        <w:lastRenderedPageBreak/>
        <w:t>4.5. Иммунофлуоресцентный анализ</w:t>
      </w:r>
    </w:p>
    <w:p w:rsidR="00A03D28" w:rsidRDefault="00A03D28" w:rsidP="001761DE">
      <w:pPr>
        <w:jc w:val="both"/>
      </w:pPr>
      <w:r>
        <w:t>Астроциты высевали на чашки Петри со стеклянным дном в количестве 105 клеток</w:t>
      </w:r>
      <w:r w:rsidR="001761DE">
        <w:t>/</w:t>
      </w:r>
      <w:r w:rsidR="00134F06">
        <w:t>ёмкость</w:t>
      </w:r>
      <w:r>
        <w:t xml:space="preserve"> и оставляли для прикрепления в течение 12 часов. После смены среды клетки оставляли еще на 24 часа и использовали в экспериментах, как описано в другом месте. Срезы с клетками, фиксированными в 4% параформальдегиде, забуференном PBS, обрабатывали Triton X-100, содержащим буфер, блокировали FBS и затем инкубировали </w:t>
      </w:r>
      <w:r w:rsidR="00134F06">
        <w:t>на ночь</w:t>
      </w:r>
      <w:r>
        <w:t xml:space="preserve"> с первичными антителами против GFAP (1: 2000). Вторичные антитела к Alexa, полученные от коз, использовали в следующих разведениях: Alexa 488 против кролика 1: 1000. Отрицательный контроль включал инкубацию астроцитов только с вторичными антителами. В отрицательных контролях не наблюдалось значительного окрашивания. Изображения представляют три независимых эксперимента. Изображения были получены с помощью Axiovert.A1 HBO50 (Zeiss, Геттинген, Германия), оснащенного программным обеспечением для микроскопии ZEN 2.3. Изображения обрабатывали с помощью программы ImageJ (1.51s) (Национальный институт здравоохранения, Бетесда, Мэриленд, США).</w:t>
      </w:r>
    </w:p>
    <w:p w:rsidR="00A03D28" w:rsidRDefault="00A03D28" w:rsidP="001761DE">
      <w:pPr>
        <w:jc w:val="both"/>
      </w:pPr>
      <w:r>
        <w:t xml:space="preserve">4.6. </w:t>
      </w:r>
      <w:r w:rsidR="002D375B">
        <w:t>Анализ методом</w:t>
      </w:r>
      <w:r>
        <w:t xml:space="preserve"> UPLC-MS</w:t>
      </w:r>
      <w:r w:rsidR="001761DE">
        <w:t>/</w:t>
      </w:r>
      <w:r>
        <w:t>MS и подготовка образцов</w:t>
      </w:r>
    </w:p>
    <w:p w:rsidR="00A03D28" w:rsidRDefault="00A03D28" w:rsidP="001761DE">
      <w:pPr>
        <w:jc w:val="both"/>
      </w:pPr>
      <w:r>
        <w:t>После экспериментов супернатант собирали и хранили при -70°C для дальнейшего анализа. Бесклеточные культуральные среды были взяты для твердофазной липидной экстракции (картридж Oasis® PRIME HLB (60 мг, 3 см</w:t>
      </w:r>
      <w:r w:rsidRPr="002D375B">
        <w:rPr>
          <w:vertAlign w:val="superscript"/>
        </w:rPr>
        <w:t>3</w:t>
      </w:r>
      <w:r>
        <w:t xml:space="preserve">)). Половина мл приготовленного образца загружали в колонку и промывали 1 мл 0,1% муравьиной кислоты и 1 мл 15% метанола. Затем картриджи элюировали </w:t>
      </w:r>
      <w:r w:rsidR="002D375B">
        <w:t xml:space="preserve">с </w:t>
      </w:r>
      <w:r>
        <w:t xml:space="preserve">500 </w:t>
      </w:r>
      <w:r w:rsidR="00134F06">
        <w:t>мк</w:t>
      </w:r>
      <w:r>
        <w:t xml:space="preserve">л метанола и 500 </w:t>
      </w:r>
      <w:r w:rsidR="00134F06">
        <w:t>мк</w:t>
      </w:r>
      <w:r>
        <w:t>л ацетонитрила, а затем растворитель выпаривали в слабом потоке азота. Липидные медиаторы анализировали с помощью UPLC-MS</w:t>
      </w:r>
      <w:r w:rsidR="001761DE">
        <w:t>/</w:t>
      </w:r>
      <w:r>
        <w:t xml:space="preserve">MS серии 8040 (Shimadzu, Киото, Япония) со всеми спецификациями, установленными, как </w:t>
      </w:r>
      <w:r w:rsidR="002D375B">
        <w:t>было описано</w:t>
      </w:r>
      <w:r>
        <w:t xml:space="preserve"> ранее [25]. Количественная оценка и квалификация выполнялись в режиме мониторинга множественных реакций, и </w:t>
      </w:r>
      <w:r w:rsidR="002D375B">
        <w:t>масс-спектрометр</w:t>
      </w:r>
      <w:r>
        <w:t xml:space="preserve"> работал с разрешением единицы массы как для ионов предшественника, так и для ионов продукта. Для работы с масс-спектрометром использовали пакет программ Lipid Mediator Version 2 (Shimadzu, Япония). Медиаторы были разделены на основе их химических свойств в UPLC, затем мы контролировали их ионные фрагменты с помощью диссоциации, вызванной столкновением, в сочетании с ионизацией электрораспылением</w:t>
      </w:r>
      <w:r w:rsidR="00FC3B52">
        <w:t xml:space="preserve"> </w:t>
      </w:r>
      <w:r>
        <w:t>-</w:t>
      </w:r>
      <w:r w:rsidR="00FC3B52">
        <w:t xml:space="preserve"> </w:t>
      </w:r>
      <w:r>
        <w:t>MS</w:t>
      </w:r>
      <w:r w:rsidR="001761DE">
        <w:t>/</w:t>
      </w:r>
      <w:r>
        <w:t>MS. Липиды были идентифицированы в соответствии с точным m</w:t>
      </w:r>
      <w:r w:rsidR="001761DE">
        <w:t>/</w:t>
      </w:r>
      <w:r>
        <w:t>z, временем удерживания, относительным временем удерживания видов в том же классе и спектрами М</w:t>
      </w:r>
      <w:r w:rsidR="002D375B">
        <w:rPr>
          <w:lang w:val="en-US"/>
        </w:rPr>
        <w:t>S</w:t>
      </w:r>
      <w:r w:rsidR="001761DE">
        <w:t>/</w:t>
      </w:r>
      <w:r>
        <w:t>М</w:t>
      </w:r>
      <w:r w:rsidR="002D375B">
        <w:rPr>
          <w:lang w:val="en-US"/>
        </w:rPr>
        <w:t>S</w:t>
      </w:r>
      <w:r>
        <w:t xml:space="preserve">. Для количественного анализа оксилипинов все образцы исследовали с помощью </w:t>
      </w:r>
      <w:r w:rsidR="002D375B">
        <w:rPr>
          <w:lang w:val="en-US"/>
        </w:rPr>
        <w:t>LC</w:t>
      </w:r>
      <w:r>
        <w:t>-М</w:t>
      </w:r>
      <w:r w:rsidR="002D375B">
        <w:rPr>
          <w:lang w:val="en-US"/>
        </w:rPr>
        <w:t>S</w:t>
      </w:r>
      <w:r w:rsidR="001761DE">
        <w:t>/</w:t>
      </w:r>
      <w:r>
        <w:t>М</w:t>
      </w:r>
      <w:r w:rsidR="002D375B">
        <w:rPr>
          <w:lang w:val="en-US"/>
        </w:rPr>
        <w:t>S</w:t>
      </w:r>
      <w:r>
        <w:t xml:space="preserve"> для измерения площадей пиков обнаруженных видов. Чтобы компенсировать колебания интенсивности </w:t>
      </w:r>
      <w:r w:rsidR="002D375B">
        <w:rPr>
          <w:lang w:val="en-US"/>
        </w:rPr>
        <w:t>MS</w:t>
      </w:r>
      <w:r>
        <w:t xml:space="preserve"> во время различных прогонов, площади пиков каждого отдельного вида липидов корректировали с помощью дейтерированных внутренних стандартов. Концентрация липидов была нормализована к общему белку и выражалась в пг</w:t>
      </w:r>
      <w:r w:rsidR="001761DE">
        <w:t>/</w:t>
      </w:r>
      <w:r>
        <w:t>мг. Общий белок определяли методом Брэдфорда.</w:t>
      </w:r>
    </w:p>
    <w:p w:rsidR="00A03D28" w:rsidRDefault="00A03D28" w:rsidP="001761DE">
      <w:pPr>
        <w:jc w:val="both"/>
      </w:pPr>
      <w:r>
        <w:t xml:space="preserve">4.7. Определение </w:t>
      </w:r>
      <w:r w:rsidR="00CD0F2C">
        <w:t>TNFа</w:t>
      </w:r>
      <w:r>
        <w:t xml:space="preserve"> и IL-10 с помощью иммуноферментного анализа</w:t>
      </w:r>
    </w:p>
    <w:p w:rsidR="00A03D28" w:rsidRDefault="00A03D28" w:rsidP="001761DE">
      <w:pPr>
        <w:jc w:val="both"/>
      </w:pPr>
      <w:r>
        <w:t xml:space="preserve">После экспериментов супернатанты собирали и хранили при -70°C для дальнейшего анализа. Уровни высвобожденного </w:t>
      </w:r>
      <w:r w:rsidR="00CD0F2C">
        <w:t>TNFа</w:t>
      </w:r>
      <w:r>
        <w:t xml:space="preserve"> и IL-10 определяли с использованием коммерческих наборов для иммуноферментного анализа и планшет-ридера Synergy H4 (BioTek, Winooski, VT, USA), следуя инструкциям производителя.</w:t>
      </w:r>
    </w:p>
    <w:p w:rsidR="00A03D28" w:rsidRDefault="00A03D28" w:rsidP="001761DE">
      <w:pPr>
        <w:jc w:val="both"/>
      </w:pPr>
      <w:r>
        <w:t>4.8. Анализ экспериментальных данных и статистика</w:t>
      </w:r>
    </w:p>
    <w:p w:rsidR="00A03D28" w:rsidRDefault="00A03D28" w:rsidP="001761DE">
      <w:pPr>
        <w:jc w:val="both"/>
      </w:pPr>
      <w:r>
        <w:lastRenderedPageBreak/>
        <w:t xml:space="preserve">Данные выражены в виде среднего </w:t>
      </w:r>
      <w:r w:rsidR="001263AA">
        <w:t>+/-</w:t>
      </w:r>
      <w:r w:rsidR="00653A67" w:rsidRPr="00653A67">
        <w:t xml:space="preserve"> </w:t>
      </w:r>
      <w:r w:rsidR="001263AA">
        <w:t>SEM</w:t>
      </w:r>
      <w:r>
        <w:t xml:space="preserve">. Нормальность наборов данных оценивалась с помощью теста Шапиро-Уилка. Данные были подвергнуты одностороннему дисперсионному анализу с последующим апостериорным тестом Бонферрони для определения статистической значимости. </w:t>
      </w:r>
      <w:r w:rsidR="00653A67">
        <w:t>Условие</w:t>
      </w:r>
      <w:r w:rsidR="00653A67" w:rsidRPr="00653A67">
        <w:t xml:space="preserve"> </w:t>
      </w:r>
      <w:r>
        <w:t>p&lt;0,05 считалось статистически значимым. Все эксперименты повторяли не менее трех раз.</w:t>
      </w:r>
    </w:p>
    <w:p w:rsidR="00653A67" w:rsidRDefault="00653A67" w:rsidP="001761DE">
      <w:pPr>
        <w:jc w:val="both"/>
      </w:pPr>
    </w:p>
    <w:p w:rsidR="00113102" w:rsidRDefault="00113102" w:rsidP="001761DE">
      <w:pPr>
        <w:jc w:val="both"/>
      </w:pPr>
      <w:r>
        <w:t>Дополнительные материалы можно найти на http://www.mdpi.com/1422-0067/20/16/3894</w:t>
      </w:r>
      <w:r w:rsidR="001761DE">
        <w:t>/</w:t>
      </w:r>
      <w:r>
        <w:t>с1.</w:t>
      </w:r>
    </w:p>
    <w:p w:rsidR="00113102" w:rsidRDefault="00113102" w:rsidP="001761DE">
      <w:pPr>
        <w:jc w:val="both"/>
      </w:pPr>
      <w:r>
        <w:t>Вклад авторов: A.A.A., M.G.S., D.V.C. и Н.В.А. задумал</w:t>
      </w:r>
      <w:r w:rsidR="00653A67">
        <w:t>и</w:t>
      </w:r>
      <w:r>
        <w:t xml:space="preserve"> и спланировал</w:t>
      </w:r>
      <w:r w:rsidR="00653A67">
        <w:t>и</w:t>
      </w:r>
      <w:r>
        <w:t xml:space="preserve"> эксперименты; D.V.C. и Н.В.А. провели эксперимент ELISA, культивирование клеток астроцитов и экстракцию липидов из среды; N.V.A. выполнил анализ qPCR и проанализировал данные; D.V.C., S.V.G. и V.V.C. выполнил</w:t>
      </w:r>
      <w:r w:rsidR="00653A67">
        <w:t>и</w:t>
      </w:r>
      <w:r>
        <w:t xml:space="preserve"> анализ МС; А.А.А. и M.G.S. написал статью; D.V.C. и Н.В.А. </w:t>
      </w:r>
      <w:r w:rsidR="00653A67">
        <w:t xml:space="preserve">оказали </w:t>
      </w:r>
      <w:r>
        <w:t>помощь в написании и корректуре.</w:t>
      </w:r>
    </w:p>
    <w:p w:rsidR="00113102" w:rsidRDefault="00113102" w:rsidP="001761DE">
      <w:pPr>
        <w:jc w:val="both"/>
      </w:pPr>
      <w:r>
        <w:t>Финансирование: Исследование выполнено при поддержке Российского научного фонда, грант № 18-74-00069 (клеточные эксперименты, ПЦР и вестерн-блот-анализ) и исследовательский проект РФФИ № 18-34-20100 (анализ оксилипинов и разработка метода МС).</w:t>
      </w:r>
    </w:p>
    <w:p w:rsidR="00113102" w:rsidRDefault="00113102" w:rsidP="001761DE">
      <w:pPr>
        <w:jc w:val="both"/>
      </w:pPr>
      <w:r>
        <w:t xml:space="preserve">Благодарности: Авторы выражают признательность Центру доклинических клинических исследований </w:t>
      </w:r>
      <w:r w:rsidR="00653A67">
        <w:t xml:space="preserve">РУДН </w:t>
      </w:r>
      <w:r>
        <w:t>«Программа 5-100» за их услуги по анализу UPLC</w:t>
      </w:r>
      <w:r w:rsidR="001761DE">
        <w:t>/</w:t>
      </w:r>
      <w:r>
        <w:t>MS</w:t>
      </w:r>
      <w:r w:rsidR="001761DE">
        <w:t>/</w:t>
      </w:r>
      <w:r>
        <w:t>MS.</w:t>
      </w:r>
    </w:p>
    <w:p w:rsidR="00A03D28" w:rsidRDefault="00113102" w:rsidP="001761DE">
      <w:pPr>
        <w:jc w:val="both"/>
      </w:pPr>
      <w:r>
        <w:t>Конфликт интересов: авторы заявляют об отсутствии конфликта интересов.</w:t>
      </w:r>
    </w:p>
    <w:tbl>
      <w:tblPr>
        <w:tblStyle w:val="110"/>
        <w:tblW w:w="0" w:type="auto"/>
        <w:tblLook w:val="04A0"/>
      </w:tblPr>
      <w:tblGrid>
        <w:gridCol w:w="1668"/>
        <w:gridCol w:w="7903"/>
      </w:tblGrid>
      <w:tr w:rsidR="00E46D23" w:rsidRPr="00FC3B52" w:rsidTr="00FC3B52">
        <w:trPr>
          <w:cnfStyle w:val="100000000000"/>
        </w:trPr>
        <w:tc>
          <w:tcPr>
            <w:cnfStyle w:val="001000000000"/>
            <w:tcW w:w="9571" w:type="dxa"/>
            <w:gridSpan w:val="2"/>
            <w:tcBorders>
              <w:bottom w:val="nil"/>
            </w:tcBorders>
          </w:tcPr>
          <w:p w:rsidR="00FC3B52" w:rsidRPr="00FC3B52" w:rsidRDefault="00E46D23" w:rsidP="001761DE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C3B52">
              <w:rPr>
                <w:rFonts w:asciiTheme="minorHAnsi" w:hAnsiTheme="minorHAnsi" w:cstheme="minorHAnsi"/>
                <w:b w:val="0"/>
              </w:rPr>
              <w:t>Сокращения</w:t>
            </w:r>
          </w:p>
        </w:tc>
      </w:tr>
      <w:tr w:rsidR="00E46D23" w:rsidRPr="00FC3B52" w:rsidTr="00FC3B52">
        <w:trPr>
          <w:cnfStyle w:val="000000100000"/>
        </w:trPr>
        <w:tc>
          <w:tcPr>
            <w:cnfStyle w:val="001000000000"/>
            <w:tcW w:w="1668" w:type="dxa"/>
            <w:tcBorders>
              <w:top w:val="nil"/>
              <w:bottom w:val="nil"/>
            </w:tcBorders>
          </w:tcPr>
          <w:p w:rsidR="00E46D23" w:rsidRPr="00FC3B52" w:rsidRDefault="00E46D23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</w:rPr>
              <w:t>ГК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E46D23" w:rsidRPr="00FC3B52" w:rsidRDefault="00E46D23" w:rsidP="001761DE">
            <w:pPr>
              <w:jc w:val="both"/>
              <w:cnfStyle w:val="000000100000"/>
              <w:rPr>
                <w:rFonts w:cstheme="minorHAnsi"/>
              </w:rPr>
            </w:pPr>
            <w:r w:rsidRPr="00FC3B52">
              <w:rPr>
                <w:rFonts w:cstheme="minorHAnsi"/>
              </w:rPr>
              <w:t xml:space="preserve">Гиалуроновая кислота </w:t>
            </w:r>
          </w:p>
        </w:tc>
      </w:tr>
      <w:tr w:rsidR="00D62E05" w:rsidRPr="00FC3B52" w:rsidTr="00FC3B52">
        <w:tc>
          <w:tcPr>
            <w:cnfStyle w:val="001000000000"/>
            <w:tcW w:w="1668" w:type="dxa"/>
            <w:tcBorders>
              <w:top w:val="nil"/>
            </w:tcBorders>
          </w:tcPr>
          <w:p w:rsidR="00D62E05" w:rsidRPr="00FC3B52" w:rsidRDefault="00E46D23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</w:rPr>
              <w:t>ВМГК</w:t>
            </w:r>
          </w:p>
        </w:tc>
        <w:tc>
          <w:tcPr>
            <w:tcW w:w="7903" w:type="dxa"/>
            <w:tcBorders>
              <w:top w:val="nil"/>
            </w:tcBorders>
          </w:tcPr>
          <w:p w:rsidR="00D62E05" w:rsidRPr="00FC3B52" w:rsidRDefault="00D62E05" w:rsidP="001761DE">
            <w:pPr>
              <w:jc w:val="both"/>
              <w:cnfStyle w:val="000000000000"/>
              <w:rPr>
                <w:rFonts w:cstheme="minorHAnsi"/>
              </w:rPr>
            </w:pPr>
            <w:r w:rsidRPr="00FC3B52">
              <w:rPr>
                <w:rFonts w:cstheme="minorHAnsi"/>
              </w:rPr>
              <w:t>ГК с высокой молекулярной массой, высокомолекулярная ГК</w:t>
            </w:r>
          </w:p>
        </w:tc>
      </w:tr>
      <w:tr w:rsidR="00D62E05" w:rsidRPr="00FC3B52" w:rsidTr="002D375B">
        <w:trPr>
          <w:cnfStyle w:val="000000100000"/>
        </w:trPr>
        <w:tc>
          <w:tcPr>
            <w:cnfStyle w:val="001000000000"/>
            <w:tcW w:w="1668" w:type="dxa"/>
          </w:tcPr>
          <w:p w:rsidR="00D62E05" w:rsidRPr="00FC3B52" w:rsidRDefault="00E46D23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</w:rPr>
              <w:t>НМГК</w:t>
            </w:r>
          </w:p>
        </w:tc>
        <w:tc>
          <w:tcPr>
            <w:tcW w:w="7903" w:type="dxa"/>
          </w:tcPr>
          <w:p w:rsidR="00D62E05" w:rsidRPr="00FC3B52" w:rsidRDefault="00D62E05" w:rsidP="001761DE">
            <w:pPr>
              <w:jc w:val="both"/>
              <w:cnfStyle w:val="000000100000"/>
              <w:rPr>
                <w:rFonts w:cstheme="minorHAnsi"/>
              </w:rPr>
            </w:pPr>
            <w:r w:rsidRPr="00FC3B52">
              <w:rPr>
                <w:rFonts w:cstheme="minorHAnsi"/>
              </w:rPr>
              <w:t>ГК с низкой молекулярной массой, низкомолекулярная ГК</w:t>
            </w:r>
          </w:p>
        </w:tc>
      </w:tr>
      <w:tr w:rsidR="00D62E05" w:rsidRPr="00FC3B52" w:rsidTr="002D375B">
        <w:tc>
          <w:tcPr>
            <w:cnfStyle w:val="001000000000"/>
            <w:tcW w:w="1668" w:type="dxa"/>
          </w:tcPr>
          <w:p w:rsidR="00D62E05" w:rsidRPr="00FC3B52" w:rsidRDefault="00D62E05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</w:rPr>
              <w:t xml:space="preserve">TLR </w:t>
            </w:r>
          </w:p>
        </w:tc>
        <w:tc>
          <w:tcPr>
            <w:tcW w:w="7903" w:type="dxa"/>
          </w:tcPr>
          <w:p w:rsidR="00D62E05" w:rsidRPr="00FC3B52" w:rsidRDefault="00D62E05" w:rsidP="001761DE">
            <w:pPr>
              <w:jc w:val="both"/>
              <w:cnfStyle w:val="000000000000"/>
              <w:rPr>
                <w:rFonts w:cstheme="minorHAnsi"/>
              </w:rPr>
            </w:pPr>
            <w:r w:rsidRPr="00FC3B52">
              <w:rPr>
                <w:rFonts w:cstheme="minorHAnsi"/>
                <w:lang w:val="en-US"/>
              </w:rPr>
              <w:t>T</w:t>
            </w:r>
            <w:r w:rsidRPr="00FC3B52">
              <w:rPr>
                <w:rFonts w:cstheme="minorHAnsi"/>
              </w:rPr>
              <w:t>oll-подобный рецептор</w:t>
            </w:r>
          </w:p>
        </w:tc>
      </w:tr>
      <w:tr w:rsidR="00D62E05" w:rsidRPr="00FC3B52" w:rsidTr="002D375B">
        <w:trPr>
          <w:cnfStyle w:val="000000100000"/>
        </w:trPr>
        <w:tc>
          <w:tcPr>
            <w:cnfStyle w:val="001000000000"/>
            <w:tcW w:w="1668" w:type="dxa"/>
          </w:tcPr>
          <w:p w:rsidR="00D62E05" w:rsidRPr="00FC3B52" w:rsidRDefault="004A2A7A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</w:rPr>
              <w:t>LPS</w:t>
            </w:r>
            <w:r w:rsidR="00D62E05" w:rsidRPr="00FC3B52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7903" w:type="dxa"/>
          </w:tcPr>
          <w:p w:rsidR="00D62E05" w:rsidRPr="00FC3B52" w:rsidRDefault="00D62E05" w:rsidP="001761DE">
            <w:pPr>
              <w:jc w:val="both"/>
              <w:cnfStyle w:val="000000100000"/>
              <w:rPr>
                <w:rFonts w:cstheme="minorHAnsi"/>
              </w:rPr>
            </w:pPr>
            <w:r w:rsidRPr="00FC3B52">
              <w:rPr>
                <w:rFonts w:cstheme="minorHAnsi"/>
              </w:rPr>
              <w:t>Липополисахарид</w:t>
            </w:r>
          </w:p>
        </w:tc>
      </w:tr>
      <w:tr w:rsidR="00D62E05" w:rsidRPr="00FC3B52" w:rsidTr="002D375B">
        <w:tc>
          <w:tcPr>
            <w:cnfStyle w:val="001000000000"/>
            <w:tcW w:w="1668" w:type="dxa"/>
          </w:tcPr>
          <w:p w:rsidR="00D62E05" w:rsidRPr="00FC3B52" w:rsidRDefault="00D62E05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</w:rPr>
              <w:t>TNFа</w:t>
            </w:r>
          </w:p>
        </w:tc>
        <w:tc>
          <w:tcPr>
            <w:tcW w:w="7903" w:type="dxa"/>
          </w:tcPr>
          <w:p w:rsidR="00D62E05" w:rsidRPr="00FC3B52" w:rsidRDefault="00D62E05" w:rsidP="00FC3B52">
            <w:pPr>
              <w:jc w:val="both"/>
              <w:cnfStyle w:val="000000000000"/>
              <w:rPr>
                <w:rFonts w:cstheme="minorHAnsi"/>
              </w:rPr>
            </w:pPr>
            <w:r w:rsidRPr="00FC3B52">
              <w:rPr>
                <w:rFonts w:cstheme="minorHAnsi"/>
              </w:rPr>
              <w:t xml:space="preserve">Фактор некроза опухоли альфа </w:t>
            </w:r>
            <w:r w:rsidR="00FC3B52" w:rsidRPr="00FC3B52">
              <w:rPr>
                <w:rFonts w:cstheme="minorHAnsi"/>
              </w:rPr>
              <w:t xml:space="preserve"> (</w:t>
            </w:r>
            <w:r w:rsidR="00FC3B52" w:rsidRPr="00FC3B52">
              <w:rPr>
                <w:rFonts w:cstheme="minorHAnsi"/>
                <w:lang w:val="en-US"/>
              </w:rPr>
              <w:t>TNF</w:t>
            </w:r>
            <w:r w:rsidR="00FC3B52" w:rsidRPr="00FC3B52">
              <w:rPr>
                <w:rFonts w:cstheme="minorHAnsi"/>
                <w:lang w:val="en-US"/>
              </w:rPr>
              <w:sym w:font="Symbol" w:char="F061"/>
            </w:r>
            <w:r w:rsidR="00FC3B52" w:rsidRPr="00FC3B52">
              <w:rPr>
                <w:rFonts w:cstheme="minorHAnsi"/>
              </w:rPr>
              <w:t>)</w:t>
            </w:r>
          </w:p>
        </w:tc>
      </w:tr>
      <w:tr w:rsidR="00D62E05" w:rsidRPr="00FC3B52" w:rsidTr="002D375B">
        <w:trPr>
          <w:cnfStyle w:val="000000100000"/>
        </w:trPr>
        <w:tc>
          <w:tcPr>
            <w:cnfStyle w:val="001000000000"/>
            <w:tcW w:w="1668" w:type="dxa"/>
          </w:tcPr>
          <w:p w:rsidR="00D62E05" w:rsidRPr="00FC3B52" w:rsidRDefault="00FC3B52" w:rsidP="00FC3B52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  <w:lang w:val="en-US"/>
              </w:rPr>
              <w:t>COX</w:t>
            </w:r>
            <w:r w:rsidRPr="00FC3B52">
              <w:rPr>
                <w:rFonts w:cstheme="minorHAnsi"/>
                <w:b w:val="0"/>
              </w:rPr>
              <w:t xml:space="preserve"> </w:t>
            </w:r>
            <w:r w:rsidR="00D62E05" w:rsidRPr="00FC3B52">
              <w:rPr>
                <w:rFonts w:cstheme="minorHAnsi"/>
                <w:b w:val="0"/>
              </w:rPr>
              <w:t>-2</w:t>
            </w:r>
          </w:p>
        </w:tc>
        <w:tc>
          <w:tcPr>
            <w:tcW w:w="7903" w:type="dxa"/>
          </w:tcPr>
          <w:p w:rsidR="00D62E05" w:rsidRPr="00FC3B52" w:rsidRDefault="00D62E05" w:rsidP="001761DE">
            <w:pPr>
              <w:jc w:val="both"/>
              <w:cnfStyle w:val="000000100000"/>
              <w:rPr>
                <w:rFonts w:cstheme="minorHAnsi"/>
              </w:rPr>
            </w:pPr>
            <w:r w:rsidRPr="00FC3B52">
              <w:rPr>
                <w:rFonts w:cstheme="minorHAnsi"/>
              </w:rPr>
              <w:t>Циклооксигеназа-2</w:t>
            </w:r>
          </w:p>
        </w:tc>
      </w:tr>
      <w:tr w:rsidR="00D62E05" w:rsidRPr="00FC3B52" w:rsidTr="002D375B">
        <w:tc>
          <w:tcPr>
            <w:cnfStyle w:val="001000000000"/>
            <w:tcW w:w="1668" w:type="dxa"/>
          </w:tcPr>
          <w:p w:rsidR="00D62E05" w:rsidRPr="00FC3B52" w:rsidRDefault="00D62E05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</w:rPr>
              <w:t>ДГК</w:t>
            </w:r>
            <w:r w:rsidR="00FC3B52" w:rsidRPr="00FC3B52">
              <w:rPr>
                <w:rFonts w:cstheme="minorHAnsi"/>
                <w:b w:val="0"/>
              </w:rPr>
              <w:t xml:space="preserve">, </w:t>
            </w:r>
            <w:r w:rsidR="00FC3B52" w:rsidRPr="00FC3B52">
              <w:rPr>
                <w:rFonts w:cstheme="minorHAnsi"/>
                <w:b w:val="0"/>
                <w:lang w:val="en-US"/>
              </w:rPr>
              <w:t>DHA</w:t>
            </w:r>
          </w:p>
        </w:tc>
        <w:tc>
          <w:tcPr>
            <w:tcW w:w="7903" w:type="dxa"/>
          </w:tcPr>
          <w:p w:rsidR="00D62E05" w:rsidRPr="00FC3B52" w:rsidRDefault="00D62E05" w:rsidP="001761DE">
            <w:pPr>
              <w:jc w:val="both"/>
              <w:cnfStyle w:val="000000000000"/>
              <w:rPr>
                <w:rFonts w:cstheme="minorHAnsi"/>
              </w:rPr>
            </w:pPr>
            <w:r w:rsidRPr="00FC3B52">
              <w:rPr>
                <w:rFonts w:cstheme="minorHAnsi"/>
              </w:rPr>
              <w:t xml:space="preserve">Докозагексаеновая кислота </w:t>
            </w:r>
          </w:p>
        </w:tc>
      </w:tr>
      <w:tr w:rsidR="00D62E05" w:rsidRPr="00FC3B52" w:rsidTr="002D375B">
        <w:trPr>
          <w:cnfStyle w:val="000000100000"/>
        </w:trPr>
        <w:tc>
          <w:tcPr>
            <w:cnfStyle w:val="001000000000"/>
            <w:tcW w:w="1668" w:type="dxa"/>
          </w:tcPr>
          <w:p w:rsidR="00D62E05" w:rsidRPr="00FC3B52" w:rsidRDefault="00D62E05" w:rsidP="001761DE">
            <w:pPr>
              <w:jc w:val="both"/>
              <w:rPr>
                <w:rFonts w:cstheme="minorHAnsi"/>
                <w:b w:val="0"/>
                <w:lang w:val="en-US"/>
              </w:rPr>
            </w:pPr>
            <w:r w:rsidRPr="00FC3B52">
              <w:rPr>
                <w:rFonts w:cstheme="minorHAnsi"/>
                <w:b w:val="0"/>
              </w:rPr>
              <w:t>АК</w:t>
            </w:r>
            <w:r w:rsidR="00FC3B52" w:rsidRPr="00FC3B52">
              <w:rPr>
                <w:rFonts w:cstheme="minorHAnsi"/>
                <w:b w:val="0"/>
                <w:lang w:val="en-US"/>
              </w:rPr>
              <w:t>, AA</w:t>
            </w:r>
          </w:p>
        </w:tc>
        <w:tc>
          <w:tcPr>
            <w:tcW w:w="7903" w:type="dxa"/>
          </w:tcPr>
          <w:p w:rsidR="00D62E05" w:rsidRPr="00FC3B52" w:rsidRDefault="00FC3B52" w:rsidP="001761DE">
            <w:pPr>
              <w:jc w:val="both"/>
              <w:cnfStyle w:val="000000100000"/>
              <w:rPr>
                <w:rFonts w:cstheme="minorHAnsi"/>
              </w:rPr>
            </w:pPr>
            <w:r w:rsidRPr="00FC3B52">
              <w:rPr>
                <w:rFonts w:cstheme="minorHAnsi"/>
              </w:rPr>
              <w:t>А</w:t>
            </w:r>
            <w:r w:rsidR="00D62E05" w:rsidRPr="00FC3B52">
              <w:rPr>
                <w:rFonts w:cstheme="minorHAnsi"/>
              </w:rPr>
              <w:t>рахидоновая кислота</w:t>
            </w:r>
          </w:p>
        </w:tc>
      </w:tr>
      <w:tr w:rsidR="00D62E05" w:rsidRPr="00FC3B52" w:rsidTr="002D375B">
        <w:tc>
          <w:tcPr>
            <w:cnfStyle w:val="001000000000"/>
            <w:tcW w:w="1668" w:type="dxa"/>
          </w:tcPr>
          <w:p w:rsidR="00D62E05" w:rsidRPr="00FC3B52" w:rsidRDefault="00D62E05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</w:rPr>
              <w:t>IL-10</w:t>
            </w:r>
          </w:p>
        </w:tc>
        <w:tc>
          <w:tcPr>
            <w:tcW w:w="7903" w:type="dxa"/>
          </w:tcPr>
          <w:p w:rsidR="00D62E05" w:rsidRPr="00FC3B52" w:rsidRDefault="00D62E05" w:rsidP="001761DE">
            <w:pPr>
              <w:jc w:val="both"/>
              <w:cnfStyle w:val="000000000000"/>
              <w:rPr>
                <w:rFonts w:cstheme="minorHAnsi"/>
              </w:rPr>
            </w:pPr>
            <w:r w:rsidRPr="00FC3B52">
              <w:rPr>
                <w:rFonts w:cstheme="minorHAnsi"/>
              </w:rPr>
              <w:t>Интерлейкин-10</w:t>
            </w:r>
          </w:p>
        </w:tc>
      </w:tr>
      <w:tr w:rsidR="00D62E05" w:rsidRPr="00FC3B52" w:rsidTr="002D375B">
        <w:trPr>
          <w:cnfStyle w:val="000000100000"/>
        </w:trPr>
        <w:tc>
          <w:tcPr>
            <w:cnfStyle w:val="001000000000"/>
            <w:tcW w:w="1668" w:type="dxa"/>
          </w:tcPr>
          <w:p w:rsidR="00D62E05" w:rsidRPr="00FC3B52" w:rsidRDefault="00D62E05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</w:rPr>
              <w:t xml:space="preserve">iNOS </w:t>
            </w:r>
          </w:p>
        </w:tc>
        <w:tc>
          <w:tcPr>
            <w:tcW w:w="7903" w:type="dxa"/>
          </w:tcPr>
          <w:p w:rsidR="00D62E05" w:rsidRPr="00FC3B52" w:rsidRDefault="00D62E05" w:rsidP="001761DE">
            <w:pPr>
              <w:jc w:val="both"/>
              <w:cnfStyle w:val="000000100000"/>
              <w:rPr>
                <w:rFonts w:cstheme="minorHAnsi"/>
              </w:rPr>
            </w:pPr>
            <w:r w:rsidRPr="00FC3B52">
              <w:rPr>
                <w:rFonts w:cstheme="minorHAnsi"/>
              </w:rPr>
              <w:t xml:space="preserve">Индуцибельная синтаза оксида азота </w:t>
            </w:r>
          </w:p>
        </w:tc>
      </w:tr>
      <w:tr w:rsidR="00D62E05" w:rsidRPr="00FC3B52" w:rsidTr="002D375B">
        <w:tc>
          <w:tcPr>
            <w:cnfStyle w:val="001000000000"/>
            <w:tcW w:w="1668" w:type="dxa"/>
          </w:tcPr>
          <w:p w:rsidR="00D62E05" w:rsidRPr="00FC3B52" w:rsidRDefault="00D62E05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  <w:lang w:val="en-US"/>
              </w:rPr>
              <w:t>IL</w:t>
            </w:r>
            <w:r w:rsidRPr="00FC3B52">
              <w:rPr>
                <w:rFonts w:cstheme="minorHAnsi"/>
                <w:b w:val="0"/>
              </w:rPr>
              <w:t>-6</w:t>
            </w:r>
          </w:p>
        </w:tc>
        <w:tc>
          <w:tcPr>
            <w:tcW w:w="7903" w:type="dxa"/>
          </w:tcPr>
          <w:p w:rsidR="00D62E05" w:rsidRPr="00FC3B52" w:rsidRDefault="00D62E05" w:rsidP="001761DE">
            <w:pPr>
              <w:jc w:val="both"/>
              <w:cnfStyle w:val="000000000000"/>
              <w:rPr>
                <w:rFonts w:cstheme="minorHAnsi"/>
              </w:rPr>
            </w:pPr>
            <w:r w:rsidRPr="00FC3B52">
              <w:rPr>
                <w:rFonts w:cstheme="minorHAnsi"/>
              </w:rPr>
              <w:t>Интерлейкин 6</w:t>
            </w:r>
          </w:p>
        </w:tc>
      </w:tr>
      <w:tr w:rsidR="001263AA" w:rsidRPr="00FC3B52" w:rsidTr="002D375B">
        <w:trPr>
          <w:cnfStyle w:val="000000100000"/>
        </w:trPr>
        <w:tc>
          <w:tcPr>
            <w:cnfStyle w:val="001000000000"/>
            <w:tcW w:w="1668" w:type="dxa"/>
          </w:tcPr>
          <w:p w:rsidR="001263AA" w:rsidRPr="00FC3B52" w:rsidRDefault="00C1425C" w:rsidP="001761DE">
            <w:pPr>
              <w:jc w:val="both"/>
              <w:rPr>
                <w:rFonts w:cstheme="minorHAnsi"/>
                <w:b w:val="0"/>
              </w:rPr>
            </w:pPr>
            <w:r w:rsidRPr="00FC3B52">
              <w:rPr>
                <w:rFonts w:cstheme="minorHAnsi"/>
                <w:b w:val="0"/>
                <w:lang w:val="en-US"/>
              </w:rPr>
              <w:t xml:space="preserve">+/- </w:t>
            </w:r>
            <w:r w:rsidR="001263AA" w:rsidRPr="00FC3B52">
              <w:rPr>
                <w:rFonts w:cstheme="minorHAnsi"/>
                <w:b w:val="0"/>
              </w:rPr>
              <w:t>SEM</w:t>
            </w:r>
          </w:p>
        </w:tc>
        <w:tc>
          <w:tcPr>
            <w:tcW w:w="7903" w:type="dxa"/>
          </w:tcPr>
          <w:p w:rsidR="001263AA" w:rsidRPr="00FC3B52" w:rsidRDefault="001263AA" w:rsidP="005E55A4">
            <w:pPr>
              <w:cnfStyle w:val="000000100000"/>
              <w:rPr>
                <w:rFonts w:cstheme="minorHAnsi"/>
              </w:rPr>
            </w:pPr>
            <w:r w:rsidRPr="00FC3B52">
              <w:rPr>
                <w:rFonts w:cstheme="minorHAnsi"/>
              </w:rPr>
              <w:t>Стандартное отклонение, деленное на квадратный корень от размера выборки</w:t>
            </w:r>
            <w:r w:rsidR="005E55A4" w:rsidRPr="00FC3B52">
              <w:rPr>
                <w:rFonts w:cstheme="minorHAnsi"/>
              </w:rPr>
              <w:t xml:space="preserve"> (прим.пер.)</w:t>
            </w:r>
          </w:p>
        </w:tc>
      </w:tr>
      <w:tr w:rsidR="005E55A4" w:rsidRPr="00FC3B52" w:rsidTr="00FC3B52">
        <w:tc>
          <w:tcPr>
            <w:cnfStyle w:val="001000000000"/>
            <w:tcW w:w="1668" w:type="dxa"/>
            <w:tcBorders>
              <w:bottom w:val="nil"/>
            </w:tcBorders>
          </w:tcPr>
          <w:p w:rsidR="005E55A4" w:rsidRPr="00FC3B52" w:rsidRDefault="005E55A4" w:rsidP="001761DE">
            <w:pPr>
              <w:jc w:val="both"/>
              <w:rPr>
                <w:rFonts w:cstheme="minorHAnsi"/>
                <w:b w:val="0"/>
                <w:lang w:val="en-US"/>
              </w:rPr>
            </w:pPr>
            <w:r w:rsidRPr="00FC3B52">
              <w:rPr>
                <w:rFonts w:cstheme="minorHAnsi"/>
                <w:b w:val="0"/>
                <w:lang w:val="en-US"/>
              </w:rPr>
              <w:t>PIC</w:t>
            </w:r>
            <w:r w:rsidRPr="00FC3B52">
              <w:rPr>
                <w:rFonts w:cstheme="minorHAnsi"/>
                <w:b w:val="0"/>
              </w:rPr>
              <w:t xml:space="preserve">, </w:t>
            </w:r>
            <w:r w:rsidRPr="00FC3B52">
              <w:rPr>
                <w:rFonts w:cstheme="minorHAnsi"/>
                <w:b w:val="0"/>
                <w:lang w:val="en-US"/>
              </w:rPr>
              <w:t>Poly:IC</w:t>
            </w:r>
          </w:p>
        </w:tc>
        <w:tc>
          <w:tcPr>
            <w:tcW w:w="7903" w:type="dxa"/>
            <w:tcBorders>
              <w:bottom w:val="nil"/>
            </w:tcBorders>
          </w:tcPr>
          <w:p w:rsidR="005E55A4" w:rsidRPr="00FC3B52" w:rsidRDefault="005E55A4" w:rsidP="005E55A4">
            <w:pPr>
              <w:jc w:val="both"/>
              <w:cnfStyle w:val="000000000000"/>
              <w:rPr>
                <w:rFonts w:cstheme="minorHAnsi"/>
              </w:rPr>
            </w:pPr>
            <w:r w:rsidRPr="00FC3B52">
              <w:rPr>
                <w:rFonts w:cstheme="minorHAnsi"/>
              </w:rPr>
              <w:t>Сополимер полиинозиновой и полицитидиловой кислот (прим.пер.)</w:t>
            </w:r>
          </w:p>
        </w:tc>
      </w:tr>
      <w:tr w:rsidR="002D375B" w:rsidRPr="00FC3B52" w:rsidTr="00FC3B52">
        <w:trPr>
          <w:cnfStyle w:val="000000100000"/>
        </w:trPr>
        <w:tc>
          <w:tcPr>
            <w:cnfStyle w:val="001000000000"/>
            <w:tcW w:w="1668" w:type="dxa"/>
            <w:tcBorders>
              <w:top w:val="nil"/>
              <w:bottom w:val="nil"/>
            </w:tcBorders>
          </w:tcPr>
          <w:p w:rsidR="002D375B" w:rsidRPr="00FC3B52" w:rsidRDefault="002D375B" w:rsidP="001761DE">
            <w:pPr>
              <w:jc w:val="both"/>
              <w:rPr>
                <w:rFonts w:cstheme="minorHAnsi"/>
                <w:b w:val="0"/>
                <w:lang w:val="en-US"/>
              </w:rPr>
            </w:pPr>
            <w:r w:rsidRPr="00FC3B52">
              <w:rPr>
                <w:rFonts w:cstheme="minorHAnsi"/>
                <w:b w:val="0"/>
              </w:rPr>
              <w:t>UPLC-MS/MS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2D375B" w:rsidRPr="00FC3B52" w:rsidRDefault="002D375B" w:rsidP="002D375B">
            <w:pPr>
              <w:jc w:val="both"/>
              <w:cnfStyle w:val="000000100000"/>
              <w:rPr>
                <w:rFonts w:cstheme="minorHAnsi"/>
              </w:rPr>
            </w:pPr>
            <w:r w:rsidRPr="00FC3B52">
              <w:rPr>
                <w:rFonts w:cstheme="minorHAnsi"/>
              </w:rPr>
              <w:t>Жидкостная хроматография с масс-спектрометрией (прим.пер.)</w:t>
            </w:r>
          </w:p>
        </w:tc>
      </w:tr>
    </w:tbl>
    <w:p w:rsidR="001761DE" w:rsidRDefault="001761DE"/>
    <w:p w:rsidR="00FC3B52" w:rsidRDefault="00FC3B52"/>
    <w:p w:rsidR="00FC3B52" w:rsidRDefault="00FC3B52">
      <w:r>
        <w:br w:type="page"/>
      </w:r>
    </w:p>
    <w:p w:rsidR="001263AA" w:rsidRDefault="001263AA" w:rsidP="00FC3B52">
      <w:r>
        <w:lastRenderedPageBreak/>
        <w:t>Иллюстрации</w:t>
      </w:r>
    </w:p>
    <w:p w:rsidR="001761DE" w:rsidRDefault="001263AA" w:rsidP="001263AA">
      <w:pPr>
        <w:jc w:val="center"/>
      </w:pPr>
      <w:r>
        <w:rPr>
          <w:noProof/>
        </w:rPr>
        <w:drawing>
          <wp:inline distT="0" distB="0" distL="0" distR="0">
            <wp:extent cx="3710395" cy="5876925"/>
            <wp:effectExtent l="19050" t="0" r="4355" b="0"/>
            <wp:docPr id="1" name="Рисунок 1" descr="C:\DOC\Переводы\Санчес\lmw-h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\Переводы\Санчес\lmw-h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189" cy="588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02" w:rsidRPr="001263AA" w:rsidRDefault="001761DE" w:rsidP="001761DE">
      <w:pPr>
        <w:jc w:val="both"/>
        <w:rPr>
          <w:sz w:val="20"/>
        </w:rPr>
      </w:pPr>
      <w:r w:rsidRPr="001263AA">
        <w:rPr>
          <w:sz w:val="20"/>
        </w:rPr>
        <w:t xml:space="preserve">Рис. 1. Эффекты </w:t>
      </w:r>
      <w:r w:rsidR="00653A67">
        <w:rPr>
          <w:sz w:val="20"/>
        </w:rPr>
        <w:t>н</w:t>
      </w:r>
      <w:r w:rsidRPr="001263AA">
        <w:rPr>
          <w:sz w:val="20"/>
        </w:rPr>
        <w:t>изкомолекулярной ГК (</w:t>
      </w:r>
      <w:r w:rsidRPr="001263AA">
        <w:rPr>
          <w:sz w:val="20"/>
          <w:lang w:val="en-US"/>
        </w:rPr>
        <w:t>LMW</w:t>
      </w:r>
      <w:r w:rsidRPr="001263AA">
        <w:rPr>
          <w:sz w:val="20"/>
        </w:rPr>
        <w:t>) и высокомолекулярной ГК (HMW) на экспрессию TNFα при стимуляции агонистами TLR3 и TLR4. Астроциты предварительно обрабатывали в течение 0,5 ч (краткосрочный) или 48 ч (долгосрочный) с LMW (10, 100, 450 мкг/мл) и HMW (10, 100, 450 мкг/мл), затем липополисахаридом (LPS) (100 нг/мл) или Poly: IC (PIC) (10 мкг/мл) на 4 часа. Относительные уровни мРНК TNFα определяли с помощью ПЦР в реальном времени, данные были нормализованы по уровням мРНК β-актина. Результаты в (a, b, e, f) представлены как кратные изменения TNFα по сравнению с LPS или PIC-стимулированными клетками без обработки HA. Результаты в (d) представлены как кратные изменения TNFα по сравнению с необработанными клетками. (c) Концентрации TNFα измеряли с помощью ELISA в супернатанте из образцов с длительным (белые столбцы) и коротким (черные столбцы) HMW (450 мкг/мл) и LMW (450 мкг / мл) предварительной обработкой HA с последующими LPS и PIC. стимуляция в течение 4 ч. Результаты в (c) представлены как кратные изменения TNFα по сравнению с клетками, стимулированными LPS или PIC. Результаты в (g, h) представлены как кратные изменения уровней мРНК iNOS и IL-6 по сравнению с клетками, стимулированными LPS или PIC. Значения представляют собой среднее значение ± стандартная ошибка среднего из трех независимых экспериментов, проведенных в трех экземплярах. * p &lt;0,05 по сравнению со стимулированными клетками (a, b, c, e, f), * p&lt;0,05 по сравнению с нестимулированными</w:t>
      </w:r>
    </w:p>
    <w:p w:rsidR="00A03D28" w:rsidRDefault="00A03D28" w:rsidP="001761DE">
      <w:pPr>
        <w:jc w:val="both"/>
      </w:pPr>
    </w:p>
    <w:p w:rsidR="001263AA" w:rsidRPr="002E7080" w:rsidRDefault="001263AA" w:rsidP="001263AA">
      <w:pPr>
        <w:jc w:val="center"/>
      </w:pPr>
      <w:r>
        <w:rPr>
          <w:noProof/>
        </w:rPr>
        <w:drawing>
          <wp:inline distT="0" distB="0" distL="0" distR="0">
            <wp:extent cx="4391025" cy="4981575"/>
            <wp:effectExtent l="19050" t="0" r="9525" b="0"/>
            <wp:docPr id="2" name="Рисунок 2" descr="C:\DOC\Переводы\Санчес\lmw-h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\Переводы\Санчес\lmw-ha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80" w:rsidRPr="001263AA" w:rsidRDefault="001263AA" w:rsidP="001761DE">
      <w:pPr>
        <w:jc w:val="both"/>
      </w:pPr>
      <w:r w:rsidRPr="001263AA">
        <w:t>Рис. 2. Влияние низкомолекулярной (LMW) и высокомолекулярной (HMW) гиалуроновой кислоты (HA) на экспрессию IL-10 при стимуляции агонистами TLR3 и TLR4. Астроциты предварительно обрабатывали в течение 0,5 или 48 часов HMW (10,100 или 450 г</w:t>
      </w:r>
      <w:r w:rsidR="00FC3B52" w:rsidRPr="00FC3B52">
        <w:rPr>
          <w:rFonts w:ascii="Symbol" w:hAnsi="Symbol"/>
        </w:rPr>
        <w:t></w:t>
      </w:r>
      <w:r w:rsidRPr="001263AA">
        <w:t>мл) и LMW (10,100 или 450 г</w:t>
      </w:r>
      <w:r w:rsidR="00FC3B52" w:rsidRPr="00FC3B52">
        <w:rPr>
          <w:rFonts w:ascii="Symbol" w:hAnsi="Symbol"/>
        </w:rPr>
        <w:t></w:t>
      </w:r>
      <w:r w:rsidRPr="001263AA">
        <w:t>мл), отдельно или в комбинации с LPS (100 нг</w:t>
      </w:r>
      <w:r w:rsidR="00FC3B52" w:rsidRPr="00FC3B52">
        <w:rPr>
          <w:rFonts w:ascii="Symbol" w:hAnsi="Symbol"/>
        </w:rPr>
        <w:t></w:t>
      </w:r>
      <w:r w:rsidRPr="001263AA">
        <w:t>мл) или PIC (10 г</w:t>
      </w:r>
      <w:r w:rsidR="00FC3B52" w:rsidRPr="00FC3B52">
        <w:rPr>
          <w:rFonts w:ascii="Symbol" w:hAnsi="Symbol"/>
        </w:rPr>
        <w:t></w:t>
      </w:r>
      <w:r w:rsidRPr="001263AA">
        <w:t>мл). мл) в течение 4 ч. Относительные уровни мРНК IL-10 определяли с помощью ПЦР в реальном времени, данные были нормализованы по уровням мРНК -актина. Результаты в (a, b, e, f) представлены как кратные изменения IL-10 по сравнению с LPS или PIC-стимулированными клетками. Результаты в (d) представлены как кратные изменения IL-10 относительно контрольных клеток. (c) Концентрации IL-10 измеряли с помощью ELISA в супернатантах от образцов с длительным (белые столбцы) и коротким (черные столбцы) HMW (450 г</w:t>
      </w:r>
      <w:r w:rsidR="00FC3B52" w:rsidRPr="00FC3B52">
        <w:rPr>
          <w:rFonts w:ascii="Symbol" w:hAnsi="Symbol"/>
        </w:rPr>
        <w:t></w:t>
      </w:r>
      <w:r w:rsidRPr="001263AA">
        <w:t>мл) и LMW (450 г</w:t>
      </w:r>
      <w:r w:rsidR="00FC3B52" w:rsidRPr="00FC3B52">
        <w:rPr>
          <w:rFonts w:ascii="Symbol" w:hAnsi="Symbol"/>
        </w:rPr>
        <w:t></w:t>
      </w:r>
      <w:r w:rsidRPr="001263AA">
        <w:t>мл) предварительной обработкой HA. стимуляцией LPS или PIC в течение 4 часов. Результаты в (c) представлены как кратные изменения IL-10 относительно контрольных клеток. Значения представляют собой среднее стандартное отклонение от трех независимых экспериментов, проведенных в трех экземплярах. * p &lt;0,05 по сравнению со стимулированными клетками (a, b, e, f), * p&lt;0,05 по сравнению с нестимулированными клетками в (c, d).</w:t>
      </w:r>
    </w:p>
    <w:p w:rsidR="002E7080" w:rsidRDefault="002E7080" w:rsidP="001761DE">
      <w:pPr>
        <w:jc w:val="both"/>
      </w:pPr>
    </w:p>
    <w:p w:rsidR="001263AA" w:rsidRDefault="001263AA" w:rsidP="001761DE">
      <w:pPr>
        <w:jc w:val="both"/>
      </w:pPr>
    </w:p>
    <w:p w:rsidR="001263AA" w:rsidRDefault="001263AA" w:rsidP="001761DE">
      <w:pPr>
        <w:jc w:val="both"/>
      </w:pPr>
      <w:r>
        <w:rPr>
          <w:noProof/>
        </w:rPr>
        <w:lastRenderedPageBreak/>
        <w:drawing>
          <wp:inline distT="0" distB="0" distL="0" distR="0">
            <wp:extent cx="5934075" cy="4600575"/>
            <wp:effectExtent l="19050" t="0" r="9525" b="0"/>
            <wp:docPr id="3" name="Рисунок 3" descr="C:\DOC\Переводы\Санчес\lmw-h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\Переводы\Санчес\lmw-ha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AA" w:rsidRDefault="001263AA" w:rsidP="001761DE">
      <w:pPr>
        <w:jc w:val="both"/>
      </w:pPr>
    </w:p>
    <w:p w:rsidR="001263AA" w:rsidRDefault="001263AA" w:rsidP="00FC3B52">
      <w:pPr>
        <w:jc w:val="both"/>
      </w:pPr>
      <w:r w:rsidRPr="001263AA">
        <w:t>Рис</w:t>
      </w:r>
      <w:r>
        <w:t>.</w:t>
      </w:r>
      <w:r w:rsidRPr="001263AA">
        <w:t xml:space="preserve"> 3. Тепловая карта производства оксилипина для липидных медиаторов, производных n-6 и n-3 жирных кислот. (a) Астроциты обрабатывали гиалуроновой кислотой с высокой молекулярной массой (HMW, 450 г</w:t>
      </w:r>
      <w:r w:rsidR="00FC3B52" w:rsidRPr="00FC3B52">
        <w:rPr>
          <w:rFonts w:ascii="Symbol" w:hAnsi="Symbol"/>
        </w:rPr>
        <w:t></w:t>
      </w:r>
      <w:r w:rsidRPr="001263AA">
        <w:t>мл) и гиалуроновой кислотой с низким молекулярным весом (LMW, 450 г</w:t>
      </w:r>
      <w:r w:rsidR="00FC3B52" w:rsidRPr="00FC3B52">
        <w:rPr>
          <w:rFonts w:ascii="Symbol" w:hAnsi="Symbol"/>
        </w:rPr>
        <w:t></w:t>
      </w:r>
      <w:r w:rsidRPr="001263AA">
        <w:t>мл) в течение 0,5 или 48 часов и LPS (100 нг</w:t>
      </w:r>
      <w:r w:rsidR="00FC3B52" w:rsidRPr="00FC3B52">
        <w:rPr>
          <w:rFonts w:ascii="Symbol" w:hAnsi="Symbol"/>
        </w:rPr>
        <w:t></w:t>
      </w:r>
      <w:r w:rsidRPr="001263AA">
        <w:t>мл). ) или PIC (10 г</w:t>
      </w:r>
      <w:r w:rsidR="00FC3B52" w:rsidRPr="00FC3B52">
        <w:rPr>
          <w:rFonts w:ascii="Symbol" w:hAnsi="Symbol"/>
        </w:rPr>
        <w:t></w:t>
      </w:r>
      <w:r w:rsidRPr="001263AA">
        <w:t>мл) в течение 4 ч. Концентрации оксилипинов в супернатантах измеряли с помощью UPLC-MS</w:t>
      </w:r>
      <w:r w:rsidR="00FC3B52" w:rsidRPr="00FC3B52">
        <w:rPr>
          <w:rFonts w:ascii="Symbol" w:hAnsi="Symbol"/>
        </w:rPr>
        <w:t></w:t>
      </w:r>
      <w:r w:rsidRPr="001263AA">
        <w:t>MS. На тепловой карте показаны относительные количества каждого липидного медиатора по сравнению с контролем. Горизонтальная ось указывает стимулы, а вертикальная ось указывает относительное количество (ln) каждого липидного медиатора. (b) Астроциты предварительно обрабатывали в течение 0,5 или 48 часов HMW (HMW, 450 г</w:t>
      </w:r>
      <w:r w:rsidR="00FC3B52" w:rsidRPr="00FC3B52">
        <w:rPr>
          <w:rFonts w:ascii="Symbol" w:hAnsi="Symbol"/>
        </w:rPr>
        <w:t></w:t>
      </w:r>
      <w:r w:rsidRPr="001263AA">
        <w:t>мл) и (LMW, 450 г</w:t>
      </w:r>
      <w:r w:rsidR="00FC3B52" w:rsidRPr="00FC3B52">
        <w:rPr>
          <w:rFonts w:ascii="Symbol" w:hAnsi="Symbol"/>
        </w:rPr>
        <w:t></w:t>
      </w:r>
      <w:r w:rsidRPr="001263AA">
        <w:t>мл) HA, а затем стимулировали LPS (100 нг</w:t>
      </w:r>
      <w:r w:rsidR="00FC3B52" w:rsidRPr="00FC3B52">
        <w:rPr>
          <w:rFonts w:ascii="Symbol" w:hAnsi="Symbol"/>
        </w:rPr>
        <w:t></w:t>
      </w:r>
      <w:r w:rsidRPr="001263AA">
        <w:t>мл) или PIC (10 г</w:t>
      </w:r>
      <w:r w:rsidR="00FC3B52" w:rsidRPr="00FC3B52">
        <w:rPr>
          <w:rFonts w:ascii="Symbol" w:hAnsi="Symbol"/>
        </w:rPr>
        <w:t></w:t>
      </w:r>
      <w:r w:rsidRPr="001263AA">
        <w:t>мл) в течение 4 ч. На тепловой карте показаны относительные количества (ln) каждого липидного медиатора по сравнению с клетками, стимулированными LPS и PIC, соответственно. Значения представляют собой среднее значение трех независимых экспериментов. Метаболиты были разделены на: липоксигеназный (LOX), циклооксигеназный (COX) и цитохромный (CYP) пути, участвующие в их синтезе.</w:t>
      </w:r>
    </w:p>
    <w:p w:rsidR="001263AA" w:rsidRDefault="001263AA" w:rsidP="001761DE">
      <w:pPr>
        <w:jc w:val="both"/>
      </w:pPr>
    </w:p>
    <w:p w:rsidR="001263AA" w:rsidRDefault="001263AA" w:rsidP="001761DE">
      <w:pPr>
        <w:jc w:val="both"/>
      </w:pPr>
      <w:r>
        <w:rPr>
          <w:noProof/>
        </w:rPr>
        <w:lastRenderedPageBreak/>
        <w:drawing>
          <wp:inline distT="0" distB="0" distL="0" distR="0">
            <wp:extent cx="5934075" cy="3648075"/>
            <wp:effectExtent l="19050" t="0" r="9525" b="0"/>
            <wp:docPr id="4" name="Рисунок 4" descr="C:\DOC\Переводы\Санчес\lmw-h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\Переводы\Санчес\lmw-ha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AA" w:rsidRPr="002E7080" w:rsidRDefault="001263AA" w:rsidP="001761DE">
      <w:pPr>
        <w:jc w:val="both"/>
      </w:pPr>
      <w:r>
        <w:t xml:space="preserve">Рис. </w:t>
      </w:r>
      <w:r w:rsidRPr="001263AA">
        <w:t xml:space="preserve"> 4. Влияние низкомолекулярной (LMW) и высокомолекулярной (HMW) гиалуроновой кислоты (HA) на экспрессию COX-2 при стимуляции агонистами TLR3 и TLR4. (a, b) Астроциты предварительно обрабатывали в течение 0,5 или 48 часов HMW (10, 100 или 450 г</w:t>
      </w:r>
      <w:r w:rsidR="00FC3B52" w:rsidRPr="00FC3B52">
        <w:rPr>
          <w:rFonts w:ascii="Symbol" w:hAnsi="Symbol"/>
        </w:rPr>
        <w:t></w:t>
      </w:r>
      <w:r w:rsidRPr="001263AA">
        <w:t>мл) и (10, 100 или 450 г</w:t>
      </w:r>
      <w:r w:rsidR="00FC3B52" w:rsidRPr="00FC3B52">
        <w:rPr>
          <w:rFonts w:ascii="Symbol" w:hAnsi="Symbol"/>
        </w:rPr>
        <w:t></w:t>
      </w:r>
      <w:r w:rsidRPr="001263AA">
        <w:t>мл) отдельно или в комбинации с LPS (100 нг</w:t>
      </w:r>
      <w:r w:rsidR="00FC3B52" w:rsidRPr="00FC3B52">
        <w:rPr>
          <w:rFonts w:ascii="Symbol" w:hAnsi="Symbol"/>
        </w:rPr>
        <w:t></w:t>
      </w:r>
      <w:r w:rsidRPr="001263AA">
        <w:t>мл). или ПОС (10 г</w:t>
      </w:r>
      <w:r w:rsidR="00FC3B52" w:rsidRPr="00FC3B52">
        <w:rPr>
          <w:rFonts w:ascii="Symbol" w:hAnsi="Symbol"/>
        </w:rPr>
        <w:t></w:t>
      </w:r>
      <w:r w:rsidRPr="001263AA">
        <w:t xml:space="preserve">мл) в течение 4 ч. Уровни белка СОХ-2 оценивали с помощью вестерн-блоттинга и нормализовали по контрольной нагрузке - тубулину. (б) Пример представляет три независимых эксперимента. Значения представляют собой среднее значение </w:t>
      </w:r>
      <w:r>
        <w:t>+/- SEM</w:t>
      </w:r>
      <w:r w:rsidRPr="001263AA">
        <w:t xml:space="preserve"> из трех независимых экспериментов, проведенных в трех экземплярах. * p &lt;0,05 по сравнению со стимулированными клетками (PIC или LPS).</w:t>
      </w:r>
    </w:p>
    <w:sectPr w:rsidR="001263AA" w:rsidRPr="002E7080" w:rsidSect="00A3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7080"/>
    <w:rsid w:val="00060DE0"/>
    <w:rsid w:val="000C061D"/>
    <w:rsid w:val="000C10A7"/>
    <w:rsid w:val="00113102"/>
    <w:rsid w:val="001263AA"/>
    <w:rsid w:val="00134F06"/>
    <w:rsid w:val="001761DE"/>
    <w:rsid w:val="00254932"/>
    <w:rsid w:val="002D320B"/>
    <w:rsid w:val="002D375B"/>
    <w:rsid w:val="002E7080"/>
    <w:rsid w:val="00300051"/>
    <w:rsid w:val="003721E5"/>
    <w:rsid w:val="003A65F9"/>
    <w:rsid w:val="00410A4B"/>
    <w:rsid w:val="004A2A7A"/>
    <w:rsid w:val="005E55A4"/>
    <w:rsid w:val="00653A67"/>
    <w:rsid w:val="007754D2"/>
    <w:rsid w:val="007F014E"/>
    <w:rsid w:val="0087752B"/>
    <w:rsid w:val="008A7861"/>
    <w:rsid w:val="008B6205"/>
    <w:rsid w:val="00A03D28"/>
    <w:rsid w:val="00A33553"/>
    <w:rsid w:val="00AA74E2"/>
    <w:rsid w:val="00AF5055"/>
    <w:rsid w:val="00C1425C"/>
    <w:rsid w:val="00CD0F2C"/>
    <w:rsid w:val="00D62E05"/>
    <w:rsid w:val="00DC286B"/>
    <w:rsid w:val="00E46D23"/>
    <w:rsid w:val="00E80A3B"/>
    <w:rsid w:val="00ED3A79"/>
    <w:rsid w:val="00F4212B"/>
    <w:rsid w:val="00FC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62E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D62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1">
    <w:name w:val="Средняя сетка 11"/>
    <w:basedOn w:val="a1"/>
    <w:uiPriority w:val="67"/>
    <w:rsid w:val="00D62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10">
    <w:name w:val="Средний список 11"/>
    <w:basedOn w:val="a1"/>
    <w:uiPriority w:val="65"/>
    <w:rsid w:val="00E46D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2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A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F50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6328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2021-02-16T11:19:00Z</dcterms:created>
  <dcterms:modified xsi:type="dcterms:W3CDTF">2021-02-17T07:29:00Z</dcterms:modified>
</cp:coreProperties>
</file>